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CE40663" w:rsidR="00D309CC" w:rsidRPr="00D96264" w:rsidRDefault="00D309CC" w:rsidP="00D46431">
      <w:pPr>
        <w:pStyle w:val="CH"/>
      </w:pPr>
      <w:bookmarkStart w:id="0" w:name="historyclause"/>
      <w:r w:rsidRPr="00AD5B1E">
        <w:t>3GPP RAN</w:t>
      </w:r>
      <w:r w:rsidR="00CF20E3" w:rsidRPr="00AD5B1E">
        <w:t xml:space="preserve"> </w:t>
      </w:r>
      <w:r w:rsidRPr="00AD5B1E">
        <w:t>WG</w:t>
      </w:r>
      <w:r w:rsidR="006073EA" w:rsidRPr="00AD5B1E">
        <w:t>4</w:t>
      </w:r>
      <w:r w:rsidRPr="00AD5B1E">
        <w:t xml:space="preserve"> Meeting #</w:t>
      </w:r>
      <w:r w:rsidR="00AF66E8" w:rsidRPr="00AD5B1E">
        <w:t>9</w:t>
      </w:r>
      <w:r w:rsidR="00AD5B1E" w:rsidRPr="00AD5B1E">
        <w:t>8</w:t>
      </w:r>
      <w:r w:rsidR="001A5C3B" w:rsidRPr="00AD5B1E">
        <w:t>e</w:t>
      </w:r>
      <w:r w:rsidRPr="00AD5B1E">
        <w:rPr>
          <w:color w:val="FF0000"/>
        </w:rPr>
        <w:tab/>
      </w:r>
      <w:r w:rsidR="00D46431" w:rsidRPr="00AD5B1E">
        <w:rPr>
          <w:color w:val="FF0000"/>
        </w:rPr>
        <w:tab/>
      </w:r>
      <w:r w:rsidRPr="00D96264">
        <w:t>R</w:t>
      </w:r>
      <w:r w:rsidR="00AD5B1E" w:rsidRPr="00D96264">
        <w:t>4</w:t>
      </w:r>
      <w:r w:rsidRPr="00D96264">
        <w:t>-</w:t>
      </w:r>
      <w:r w:rsidR="00EC4847" w:rsidRPr="00D96264">
        <w:t>2</w:t>
      </w:r>
      <w:r w:rsidR="00AD5B1E" w:rsidRPr="00D96264">
        <w:t>1</w:t>
      </w:r>
      <w:r w:rsidR="00EC4847" w:rsidRPr="00D96264">
        <w:t>0</w:t>
      </w:r>
      <w:r w:rsidR="00D96264" w:rsidRPr="00D96264">
        <w:t>2589</w:t>
      </w:r>
    </w:p>
    <w:p w14:paraId="50DC9730" w14:textId="0B0124C3" w:rsidR="00D309CC" w:rsidRPr="00AD5B1E" w:rsidRDefault="00EC4847" w:rsidP="00D46431">
      <w:pPr>
        <w:pStyle w:val="CH"/>
        <w:tabs>
          <w:tab w:val="clear" w:pos="7920"/>
        </w:tabs>
        <w:rPr>
          <w:b w:val="0"/>
        </w:rPr>
      </w:pPr>
      <w:r w:rsidRPr="00AD5B1E">
        <w:t xml:space="preserve">Electronic meeting, </w:t>
      </w:r>
      <w:r w:rsidR="00AF66E8" w:rsidRPr="00AD5B1E">
        <w:t>2</w:t>
      </w:r>
      <w:r w:rsidR="00AD5B1E" w:rsidRPr="00AD5B1E">
        <w:t>5</w:t>
      </w:r>
      <w:r w:rsidR="00AD5B1E" w:rsidRPr="00AD5B1E">
        <w:rPr>
          <w:vertAlign w:val="superscript"/>
        </w:rPr>
        <w:t>th</w:t>
      </w:r>
      <w:r w:rsidR="00AD5B1E" w:rsidRPr="00AD5B1E">
        <w:t xml:space="preserve"> January</w:t>
      </w:r>
      <w:r w:rsidRPr="00AD5B1E">
        <w:t xml:space="preserve"> – </w:t>
      </w:r>
      <w:r w:rsidR="00AD5B1E" w:rsidRPr="00AD5B1E">
        <w:t>5</w:t>
      </w:r>
      <w:r w:rsidR="00AD5B1E" w:rsidRPr="00AD5B1E">
        <w:rPr>
          <w:vertAlign w:val="superscript"/>
        </w:rPr>
        <w:t>th</w:t>
      </w:r>
      <w:r w:rsidR="00AD5B1E" w:rsidRPr="00AD5B1E">
        <w:t xml:space="preserve"> February</w:t>
      </w:r>
      <w:r w:rsidRPr="00AD5B1E">
        <w:t xml:space="preserve"> 202</w:t>
      </w:r>
      <w:r w:rsidR="00AD5B1E" w:rsidRPr="00AD5B1E">
        <w:t>1</w:t>
      </w:r>
      <w:r w:rsidR="00D46431" w:rsidRPr="00AD5B1E">
        <w:tab/>
      </w:r>
    </w:p>
    <w:p w14:paraId="39A0EE25" w14:textId="77777777" w:rsidR="00D309CC" w:rsidRPr="00AD5B1E" w:rsidRDefault="00D309CC" w:rsidP="00D309CC">
      <w:pPr>
        <w:tabs>
          <w:tab w:val="left" w:pos="2160"/>
        </w:tabs>
        <w:rPr>
          <w:rFonts w:ascii="Arial" w:hAnsi="Arial" w:cs="Arial"/>
          <w:b/>
          <w:color w:val="FF0000"/>
        </w:rPr>
      </w:pPr>
    </w:p>
    <w:p w14:paraId="6DDCE159" w14:textId="6A8EAE83" w:rsidR="00D309CC" w:rsidRPr="00AD5B1E" w:rsidRDefault="00D309CC" w:rsidP="00D309CC">
      <w:pPr>
        <w:pStyle w:val="CH"/>
        <w:rPr>
          <w:b w:val="0"/>
        </w:rPr>
      </w:pPr>
      <w:r w:rsidRPr="00AD5B1E">
        <w:t>Agenda item:</w:t>
      </w:r>
      <w:r w:rsidRPr="00AD5B1E">
        <w:tab/>
      </w:r>
      <w:r w:rsidR="00B85465" w:rsidRPr="00AD5B1E">
        <w:t>1</w:t>
      </w:r>
      <w:r w:rsidR="00AD5B1E" w:rsidRPr="00AD5B1E">
        <w:t>2</w:t>
      </w:r>
      <w:r w:rsidR="00B85465" w:rsidRPr="00AD5B1E">
        <w:t>.</w:t>
      </w:r>
      <w:r w:rsidR="00AD5B1E" w:rsidRPr="00AD5B1E">
        <w:t>4</w:t>
      </w:r>
      <w:r w:rsidR="00B85465" w:rsidRPr="00AD5B1E">
        <w:t>.</w:t>
      </w:r>
      <w:r w:rsidR="00AD5B1E" w:rsidRPr="00AD5B1E">
        <w:t>1</w:t>
      </w:r>
    </w:p>
    <w:p w14:paraId="4DBE005A" w14:textId="2E4F842A" w:rsidR="00D309CC" w:rsidRPr="00AD5B1E" w:rsidRDefault="00D309CC" w:rsidP="00D309CC">
      <w:pPr>
        <w:pStyle w:val="CH"/>
        <w:rPr>
          <w:b w:val="0"/>
        </w:rPr>
      </w:pPr>
      <w:r w:rsidRPr="00AD5B1E">
        <w:t>Source:</w:t>
      </w:r>
      <w:r w:rsidRPr="00AD5B1E">
        <w:tab/>
        <w:t>Apple</w:t>
      </w:r>
    </w:p>
    <w:p w14:paraId="0D2061A1" w14:textId="17C52812" w:rsidR="00D309CC" w:rsidRPr="00AD5B1E" w:rsidRDefault="00D309CC" w:rsidP="00D309CC">
      <w:pPr>
        <w:pStyle w:val="CH"/>
        <w:rPr>
          <w:lang w:val="en-US"/>
        </w:rPr>
      </w:pPr>
      <w:r w:rsidRPr="00AD5B1E">
        <w:rPr>
          <w:lang w:val="en-US"/>
        </w:rPr>
        <w:t>Title:</w:t>
      </w:r>
      <w:r w:rsidRPr="00AD5B1E">
        <w:rPr>
          <w:lang w:val="en-US"/>
        </w:rPr>
        <w:tab/>
      </w:r>
      <w:r w:rsidR="00AD5B1E" w:rsidRPr="00AD5B1E">
        <w:rPr>
          <w:lang w:val="en-US"/>
        </w:rPr>
        <w:t>Band Plan for 600MHz SI</w:t>
      </w:r>
    </w:p>
    <w:p w14:paraId="052B1E0C" w14:textId="6026B90E" w:rsidR="00104BC6" w:rsidRPr="00AD5B1E" w:rsidRDefault="00104BC6" w:rsidP="00D309CC">
      <w:pPr>
        <w:pStyle w:val="CH"/>
        <w:rPr>
          <w:lang w:val="de-DE"/>
        </w:rPr>
      </w:pPr>
      <w:r w:rsidRPr="00AD5B1E">
        <w:rPr>
          <w:lang w:val="de-DE"/>
        </w:rPr>
        <w:t>WI/SI:</w:t>
      </w:r>
      <w:r w:rsidRPr="00AD5B1E">
        <w:rPr>
          <w:lang w:val="de-DE"/>
        </w:rPr>
        <w:tab/>
      </w:r>
      <w:r w:rsidR="00AD5B1E" w:rsidRPr="00AD5B1E">
        <w:rPr>
          <w:lang w:val="de-DE"/>
        </w:rPr>
        <w:t>FS_NR_600MHz_ext</w:t>
      </w:r>
    </w:p>
    <w:p w14:paraId="6C6D1281" w14:textId="52C96C42" w:rsidR="00104BC6" w:rsidRPr="00AD5B1E" w:rsidRDefault="00104BC6" w:rsidP="00D309CC">
      <w:pPr>
        <w:pStyle w:val="CH"/>
        <w:rPr>
          <w:lang w:val="en-US"/>
        </w:rPr>
      </w:pPr>
      <w:r w:rsidRPr="00AD5B1E">
        <w:rPr>
          <w:lang w:val="en-US"/>
        </w:rPr>
        <w:t>Release:</w:t>
      </w:r>
      <w:r w:rsidRPr="00AD5B1E">
        <w:rPr>
          <w:lang w:val="en-US"/>
        </w:rPr>
        <w:tab/>
        <w:t>Rel-</w:t>
      </w:r>
      <w:r w:rsidR="007A789C" w:rsidRPr="00AD5B1E">
        <w:rPr>
          <w:lang w:val="en-US"/>
        </w:rPr>
        <w:t>1</w:t>
      </w:r>
      <w:r w:rsidR="007C62F4" w:rsidRPr="00AD5B1E">
        <w:rPr>
          <w:lang w:val="en-US"/>
        </w:rPr>
        <w:t>7</w:t>
      </w:r>
    </w:p>
    <w:p w14:paraId="2E4E044D" w14:textId="19D8B969" w:rsidR="00D309CC" w:rsidRPr="00AD5B1E" w:rsidRDefault="00D309CC" w:rsidP="00D309CC">
      <w:pPr>
        <w:pStyle w:val="CH"/>
        <w:rPr>
          <w:lang w:val="en-US"/>
        </w:rPr>
      </w:pPr>
      <w:r w:rsidRPr="00AD5B1E">
        <w:rPr>
          <w:lang w:val="en-US"/>
        </w:rPr>
        <w:t>Document for:</w:t>
      </w:r>
      <w:r w:rsidRPr="00AD5B1E">
        <w:rPr>
          <w:lang w:val="en-US"/>
        </w:rPr>
        <w:tab/>
      </w:r>
      <w:r w:rsidR="00FC6615">
        <w:rPr>
          <w:lang w:val="en-US"/>
        </w:rPr>
        <w:t>Approval</w:t>
      </w:r>
    </w:p>
    <w:p w14:paraId="0207DB43" w14:textId="77777777" w:rsidR="00D46431" w:rsidRPr="00AD5B1E" w:rsidRDefault="00D46431" w:rsidP="00D309CC">
      <w:pPr>
        <w:pStyle w:val="CH"/>
        <w:rPr>
          <w:b w:val="0"/>
          <w:color w:val="FF0000"/>
        </w:rPr>
      </w:pPr>
    </w:p>
    <w:p w14:paraId="0273524A" w14:textId="77777777" w:rsidR="008E7986" w:rsidRPr="00AD5B1E" w:rsidRDefault="008E7986" w:rsidP="008E7986">
      <w:pPr>
        <w:pStyle w:val="Heading1"/>
      </w:pPr>
      <w:r w:rsidRPr="00AD5B1E">
        <w:t>1</w:t>
      </w:r>
      <w:r w:rsidRPr="00AD5B1E">
        <w:tab/>
        <w:t xml:space="preserve">Introduction </w:t>
      </w:r>
    </w:p>
    <w:p w14:paraId="3F399525" w14:textId="7B7770E4" w:rsidR="009E7FCF" w:rsidRPr="00FC6615" w:rsidRDefault="00AD5B1E" w:rsidP="00F37186">
      <w:pPr>
        <w:spacing w:after="0"/>
        <w:rPr>
          <w:lang w:eastAsia="zh-CN"/>
        </w:rPr>
      </w:pPr>
      <w:r w:rsidRPr="00FC6615">
        <w:rPr>
          <w:lang w:eastAsia="en-GB"/>
        </w:rPr>
        <w:t xml:space="preserve">A SI has been agreed on the last RAN Plenary meeting RAN#90e </w:t>
      </w:r>
      <w:r w:rsidR="00FC6615" w:rsidRPr="00FC6615">
        <w:rPr>
          <w:lang w:eastAsia="en-GB"/>
        </w:rPr>
        <w:t>titled</w:t>
      </w:r>
      <w:r w:rsidRPr="00FC6615">
        <w:rPr>
          <w:lang w:eastAsia="en-GB"/>
        </w:rPr>
        <w:t xml:space="preserve"> “</w:t>
      </w:r>
      <w:r w:rsidRPr="00FC6615">
        <w:rPr>
          <w:lang w:eastAsia="en-GB"/>
        </w:rPr>
        <w:t>New SID on extended 600 MHz NR band</w:t>
      </w:r>
      <w:r w:rsidRPr="00FC6615">
        <w:rPr>
          <w:lang w:eastAsia="en-GB"/>
        </w:rPr>
        <w:t xml:space="preserve">” </w:t>
      </w:r>
      <w:r w:rsidR="00F37186" w:rsidRPr="00FC6615">
        <w:rPr>
          <w:lang w:eastAsia="en-GB"/>
        </w:rPr>
        <w:t>[1]</w:t>
      </w:r>
      <w:r w:rsidRPr="00FC6615">
        <w:rPr>
          <w:lang w:eastAsia="en-GB"/>
        </w:rPr>
        <w:t xml:space="preserve"> to study the possibilities to use the 600MHz frequency range according to the LS from APT [2].</w:t>
      </w:r>
      <w:r w:rsidR="00F37186" w:rsidRPr="00FC6615">
        <w:rPr>
          <w:lang w:eastAsia="en-GB"/>
        </w:rPr>
        <w:t xml:space="preserve"> </w:t>
      </w:r>
      <w:r w:rsidRPr="00FC6615">
        <w:rPr>
          <w:lang w:eastAsia="en-GB"/>
        </w:rPr>
        <w:t>There are two options proposed, others are not excluded:</w:t>
      </w:r>
    </w:p>
    <w:p w14:paraId="63989600" w14:textId="5B67E2A7" w:rsidR="009E7FCF" w:rsidRPr="00FC6615" w:rsidRDefault="00F72A76" w:rsidP="009E7FCF">
      <w:pPr>
        <w:pStyle w:val="NormalWeb"/>
        <w:numPr>
          <w:ilvl w:val="0"/>
          <w:numId w:val="28"/>
        </w:numPr>
        <w:rPr>
          <w:sz w:val="20"/>
          <w:szCs w:val="20"/>
          <w:lang w:val="en-US"/>
        </w:rPr>
      </w:pPr>
      <w:r w:rsidRPr="00FC6615">
        <w:rPr>
          <w:sz w:val="20"/>
          <w:szCs w:val="20"/>
          <w:lang w:val="en-US"/>
        </w:rPr>
        <w:t>Option B1 proposes a single band of 2x40MHz based on band n71 but adding 5MHz at the lower end of the DL frequency range and another 5MHz at the upper end of the UL frequency range</w:t>
      </w:r>
    </w:p>
    <w:p w14:paraId="11401CAB" w14:textId="157AD75D" w:rsidR="009E7FCF" w:rsidRPr="00FC6615" w:rsidRDefault="00F72A76" w:rsidP="009E7FCF">
      <w:pPr>
        <w:pStyle w:val="NormalWeb"/>
        <w:numPr>
          <w:ilvl w:val="0"/>
          <w:numId w:val="28"/>
        </w:numPr>
        <w:rPr>
          <w:sz w:val="20"/>
          <w:szCs w:val="20"/>
          <w:lang w:val="en-US"/>
        </w:rPr>
      </w:pPr>
      <w:r w:rsidRPr="00FC6615">
        <w:rPr>
          <w:sz w:val="20"/>
          <w:szCs w:val="20"/>
          <w:lang w:val="en-GB"/>
        </w:rPr>
        <w:t>Option B2 proposes a dual duplexer solution where one duplexer is supposed to cover the n71 frequency range and the other covers additional spectrum below or above band n71.</w:t>
      </w:r>
    </w:p>
    <w:p w14:paraId="3AC2FB3E" w14:textId="22468057" w:rsidR="00F37186" w:rsidRPr="00FC6615" w:rsidRDefault="00F37186" w:rsidP="00F37186">
      <w:pPr>
        <w:spacing w:after="0"/>
        <w:rPr>
          <w:lang w:eastAsia="zh-CN"/>
        </w:rPr>
      </w:pPr>
      <w:r w:rsidRPr="00FC6615">
        <w:rPr>
          <w:lang w:eastAsia="zh-CN"/>
        </w:rPr>
        <w:t xml:space="preserve">In this contribution we </w:t>
      </w:r>
      <w:r w:rsidR="00C522C9" w:rsidRPr="00FC6615">
        <w:rPr>
          <w:lang w:eastAsia="zh-CN"/>
        </w:rPr>
        <w:t xml:space="preserve">discuss the </w:t>
      </w:r>
      <w:r w:rsidR="00F72A76" w:rsidRPr="00FC6615">
        <w:rPr>
          <w:lang w:eastAsia="zh-CN"/>
        </w:rPr>
        <w:t>possible band plans and how it is possible to implement these band plans.</w:t>
      </w:r>
    </w:p>
    <w:p w14:paraId="3A67921B" w14:textId="15968470" w:rsidR="008E7986" w:rsidRPr="003852D0" w:rsidRDefault="008E7986" w:rsidP="008E7986">
      <w:pPr>
        <w:pStyle w:val="Heading1"/>
      </w:pPr>
      <w:r w:rsidRPr="003852D0">
        <w:t>2</w:t>
      </w:r>
      <w:r w:rsidRPr="003852D0">
        <w:tab/>
      </w:r>
      <w:r w:rsidR="003C0DD3" w:rsidRPr="003852D0">
        <w:t>Discussion</w:t>
      </w:r>
      <w:r w:rsidRPr="003852D0">
        <w:t xml:space="preserve"> </w:t>
      </w:r>
    </w:p>
    <w:p w14:paraId="72D1CE92" w14:textId="5F7D78D0" w:rsidR="009E7FCF" w:rsidRPr="003852D0" w:rsidRDefault="007F6F86" w:rsidP="004637D3">
      <w:pPr>
        <w:rPr>
          <w:lang w:val="en-US"/>
        </w:rPr>
      </w:pPr>
      <w:r w:rsidRPr="003852D0">
        <w:t xml:space="preserve">For the </w:t>
      </w:r>
      <w:r w:rsidR="004637D3" w:rsidRPr="003852D0">
        <w:t>possible band plans we need to consider the technical implementation within a smartphone form factor as well as network aspects, economy of scale and time to market.</w:t>
      </w:r>
    </w:p>
    <w:p w14:paraId="64A7C7BC" w14:textId="10F5666B" w:rsidR="00867158" w:rsidRPr="00BE3EF4" w:rsidRDefault="00867158" w:rsidP="00867158">
      <w:pPr>
        <w:pStyle w:val="Heading2"/>
      </w:pPr>
      <w:r w:rsidRPr="00BE3EF4">
        <w:t>2.1</w:t>
      </w:r>
      <w:r w:rsidRPr="00BE3EF4">
        <w:tab/>
      </w:r>
      <w:r w:rsidR="00FC6615" w:rsidRPr="00BE3EF4">
        <w:t>Option B1</w:t>
      </w:r>
    </w:p>
    <w:p w14:paraId="212D67A4" w14:textId="3A27804D" w:rsidR="002E5BCE" w:rsidRPr="00BE3EF4" w:rsidRDefault="00FC6615" w:rsidP="00D63693">
      <w:r w:rsidRPr="00BE3EF4">
        <w:t xml:space="preserve">Option B1 </w:t>
      </w:r>
      <w:r w:rsidRPr="00BE3EF4">
        <w:t>proposes a single band of 2x40MHz based on band n71 but adding 5MHz at the lower end of the DL frequency range and another 5MHz at the upper end of the UL frequency range</w:t>
      </w:r>
      <w:r w:rsidRPr="00BE3EF4">
        <w:t xml:space="preserve"> as can be seen in figure 1 from [1]:</w:t>
      </w:r>
    </w:p>
    <w:p w14:paraId="1871CA57" w14:textId="05224491" w:rsidR="00FC6615" w:rsidRPr="00BE3EF4" w:rsidRDefault="00FC6615" w:rsidP="00FC6615">
      <w:pPr>
        <w:jc w:val="center"/>
      </w:pPr>
      <w:r w:rsidRPr="00BE3EF4">
        <w:rPr>
          <w:noProof/>
          <w:lang w:val="en-US" w:eastAsia="zh-CN"/>
        </w:rPr>
        <w:drawing>
          <wp:inline distT="0" distB="0" distL="0" distR="0" wp14:anchorId="0EAD2407" wp14:editId="234BE09C">
            <wp:extent cx="4096385" cy="1407795"/>
            <wp:effectExtent l="0" t="0" r="0" b="0"/>
            <wp:docPr id="1" name="Picture 5"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5" descr="Diagram&#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6385" cy="1407795"/>
                    </a:xfrm>
                    <a:prstGeom prst="rect">
                      <a:avLst/>
                    </a:prstGeom>
                    <a:noFill/>
                    <a:ln>
                      <a:noFill/>
                    </a:ln>
                  </pic:spPr>
                </pic:pic>
              </a:graphicData>
            </a:graphic>
          </wp:inline>
        </w:drawing>
      </w:r>
    </w:p>
    <w:p w14:paraId="78F056C5" w14:textId="2783081E" w:rsidR="00B81ACB" w:rsidRPr="00BE3EF4" w:rsidRDefault="00FC6615" w:rsidP="00B81ACB">
      <w:pPr>
        <w:pStyle w:val="Caption"/>
        <w:keepNext/>
        <w:jc w:val="center"/>
        <w:rPr>
          <w:color w:val="auto"/>
        </w:rPr>
      </w:pPr>
      <w:r w:rsidRPr="00BE3EF4">
        <w:rPr>
          <w:color w:val="auto"/>
        </w:rPr>
        <w:t>Figure</w:t>
      </w:r>
      <w:r w:rsidR="00B81ACB" w:rsidRPr="00BE3EF4">
        <w:rPr>
          <w:color w:val="auto"/>
        </w:rPr>
        <w:t xml:space="preserve"> </w:t>
      </w:r>
      <w:r w:rsidR="00B81ACB" w:rsidRPr="00BE3EF4">
        <w:rPr>
          <w:color w:val="auto"/>
        </w:rPr>
        <w:fldChar w:fldCharType="begin"/>
      </w:r>
      <w:r w:rsidR="00B81ACB" w:rsidRPr="00BE3EF4">
        <w:rPr>
          <w:color w:val="auto"/>
        </w:rPr>
        <w:instrText xml:space="preserve"> SEQ Table \* ARABIC </w:instrText>
      </w:r>
      <w:r w:rsidR="00B81ACB" w:rsidRPr="00BE3EF4">
        <w:rPr>
          <w:color w:val="auto"/>
        </w:rPr>
        <w:fldChar w:fldCharType="separate"/>
      </w:r>
      <w:r w:rsidR="00FD2464" w:rsidRPr="00BE3EF4">
        <w:rPr>
          <w:noProof/>
          <w:color w:val="auto"/>
        </w:rPr>
        <w:t>1</w:t>
      </w:r>
      <w:r w:rsidR="00B81ACB" w:rsidRPr="00BE3EF4">
        <w:rPr>
          <w:color w:val="auto"/>
        </w:rPr>
        <w:fldChar w:fldCharType="end"/>
      </w:r>
      <w:r w:rsidR="00B81ACB" w:rsidRPr="00BE3EF4">
        <w:rPr>
          <w:color w:val="auto"/>
        </w:rPr>
        <w:t xml:space="preserve">: </w:t>
      </w:r>
      <w:r w:rsidRPr="00BE3EF4">
        <w:rPr>
          <w:color w:val="auto"/>
        </w:rPr>
        <w:t>Band plan for Option B1</w:t>
      </w:r>
      <w:r w:rsidR="00BE3EF4">
        <w:rPr>
          <w:color w:val="auto"/>
        </w:rPr>
        <w:t>in [1]</w:t>
      </w:r>
    </w:p>
    <w:p w14:paraId="3BDCAD1F" w14:textId="77777777" w:rsidR="00FC6615" w:rsidRPr="00BE3EF4" w:rsidRDefault="00FC6615" w:rsidP="00FC6615"/>
    <w:p w14:paraId="71CF7905" w14:textId="1E6C867D" w:rsidR="00F95376" w:rsidRPr="00BE3EF4" w:rsidRDefault="00FC6615" w:rsidP="002B7E71">
      <w:pPr>
        <w:pStyle w:val="NormalWeb"/>
        <w:rPr>
          <w:sz w:val="20"/>
          <w:szCs w:val="20"/>
          <w:lang w:val="en-US"/>
        </w:rPr>
      </w:pPr>
      <w:r w:rsidRPr="00BE3EF4">
        <w:rPr>
          <w:sz w:val="20"/>
          <w:szCs w:val="20"/>
          <w:lang w:val="en-US"/>
        </w:rPr>
        <w:t xml:space="preserve">Band 71 was originally specified as a dual duplexer band, since at that time filter vendors considered a 2x 35MHz duplexer as not implementable with reasonable performance concerning insertion loss as well as stop band attenuation. Meanwhile technology has improved and there are single duplexers available for band 71/n71 that can cover the 2x 35MHz with reasonable performance, however, they are still worse than usual duplexers with lower bandwidth. So having 2x 35MHz as a duplexer is still marginal, but a 2x 40MHz duplexer is still out-of-reach with reasonable performance, size and cost. Therefore we cannot support option B1 with a single duplexer solution. Re-using band 71/n71 as is without adding the 5MHz below and above seems to be the only alternative for a single duplexer solution. </w:t>
      </w:r>
    </w:p>
    <w:p w14:paraId="686B718E" w14:textId="03F70DC2" w:rsidR="00FC6615" w:rsidRPr="00BE3EF4" w:rsidRDefault="00FC6615" w:rsidP="00FC6615">
      <w:pPr>
        <w:pStyle w:val="TOC1"/>
      </w:pPr>
      <w:r w:rsidRPr="00BE3EF4">
        <w:lastRenderedPageBreak/>
        <w:t>Observation 1:</w:t>
      </w:r>
      <w:r w:rsidRPr="00BE3EF4">
        <w:tab/>
      </w:r>
      <w:r w:rsidRPr="00BE3EF4">
        <w:t>In the 600MHz frequency range the maximum realizable bandwidth for a single duplexer solution using available technologies is 35 MHz</w:t>
      </w:r>
      <w:r w:rsidR="00BE3EF4" w:rsidRPr="00BE3EF4">
        <w:t>, better performance is achieved with 30MHz</w:t>
      </w:r>
    </w:p>
    <w:p w14:paraId="6258D799" w14:textId="6A4B946C" w:rsidR="00473181" w:rsidRPr="00BE3EF4" w:rsidRDefault="00FD2464" w:rsidP="00FD2464">
      <w:pPr>
        <w:pStyle w:val="Proposal"/>
      </w:pPr>
      <w:r w:rsidRPr="00BE3EF4">
        <w:t xml:space="preserve">Proposal </w:t>
      </w:r>
      <w:r w:rsidR="009F75C7" w:rsidRPr="00BE3EF4">
        <w:t>1</w:t>
      </w:r>
      <w:r w:rsidRPr="00BE3EF4">
        <w:t>:</w:t>
      </w:r>
      <w:r w:rsidRPr="00BE3EF4">
        <w:tab/>
      </w:r>
      <w:r w:rsidR="00FC6615" w:rsidRPr="00BE3EF4">
        <w:t>Option B1 should not be used as a 2x 40MHz duplexer doesn’t seem to be possible with reasonable performance, size and cost</w:t>
      </w:r>
    </w:p>
    <w:p w14:paraId="23DB1DF1" w14:textId="11B11B93" w:rsidR="00867158" w:rsidRPr="00BE3EF4" w:rsidRDefault="00867158" w:rsidP="00867158">
      <w:pPr>
        <w:pStyle w:val="Heading2"/>
      </w:pPr>
      <w:r w:rsidRPr="00BE3EF4">
        <w:t>2.2</w:t>
      </w:r>
      <w:r w:rsidRPr="00BE3EF4">
        <w:tab/>
      </w:r>
      <w:r w:rsidR="00FC6615" w:rsidRPr="00BE3EF4">
        <w:t>Option B2</w:t>
      </w:r>
    </w:p>
    <w:p w14:paraId="77641C24" w14:textId="45865D65" w:rsidR="00DB70E5" w:rsidRPr="00AD5B1E" w:rsidRDefault="004637D3" w:rsidP="00127DAC">
      <w:pPr>
        <w:spacing w:after="0"/>
        <w:rPr>
          <w:color w:val="FF0000"/>
          <w:lang w:val="en-US"/>
        </w:rPr>
      </w:pPr>
      <w:r w:rsidRPr="00BE3EF4">
        <w:rPr>
          <w:lang w:val="en-US"/>
        </w:rPr>
        <w:t xml:space="preserve">Option B2 proposes a dual duplexer solution where one duplexer is supposed to cover the </w:t>
      </w:r>
      <w:r w:rsidRPr="00BE3EF4">
        <w:rPr>
          <w:lang w:val="en-US"/>
        </w:rPr>
        <w:t>band 71/</w:t>
      </w:r>
      <w:r w:rsidRPr="00BE3EF4">
        <w:rPr>
          <w:lang w:val="en-US"/>
        </w:rPr>
        <w:t>n71 frequency range and the other covers additional spectrum below or above band n71</w:t>
      </w:r>
      <w:r w:rsidRPr="00BE3EF4">
        <w:rPr>
          <w:lang w:val="en-US"/>
        </w:rPr>
        <w:t xml:space="preserve"> acco</w:t>
      </w:r>
      <w:r w:rsidR="00EA7C31" w:rsidRPr="00BE3EF4">
        <w:rPr>
          <w:lang w:val="en-US"/>
        </w:rPr>
        <w:t>r</w:t>
      </w:r>
      <w:r w:rsidRPr="00BE3EF4">
        <w:rPr>
          <w:lang w:val="en-US"/>
        </w:rPr>
        <w:t>ding to figure 2 from [1]</w:t>
      </w:r>
      <w:r w:rsidRPr="00BE3EF4">
        <w:rPr>
          <w:lang w:val="en-US"/>
        </w:rPr>
        <w:t>.</w:t>
      </w:r>
      <w:r w:rsidRPr="00D45778">
        <w:rPr>
          <w:noProof/>
          <w:lang w:val="en-US" w:eastAsia="zh-CN"/>
        </w:rPr>
        <w:drawing>
          <wp:inline distT="0" distB="0" distL="0" distR="0" wp14:anchorId="56A7B4DA" wp14:editId="7AD1E390">
            <wp:extent cx="5341620" cy="4563110"/>
            <wp:effectExtent l="0" t="0" r="0" b="0"/>
            <wp:docPr id="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315C711E" w14:textId="32EB9DEE" w:rsidR="00BE3EF4" w:rsidRPr="00BE3EF4" w:rsidRDefault="00BE3EF4" w:rsidP="00BE3EF4">
      <w:pPr>
        <w:pStyle w:val="Caption"/>
        <w:keepNext/>
        <w:jc w:val="center"/>
        <w:rPr>
          <w:color w:val="auto"/>
        </w:rPr>
      </w:pPr>
      <w:r w:rsidRPr="00BE3EF4">
        <w:rPr>
          <w:color w:val="auto"/>
        </w:rPr>
        <w:t xml:space="preserve">Figure </w:t>
      </w:r>
      <w:r>
        <w:rPr>
          <w:color w:val="auto"/>
        </w:rPr>
        <w:t>2</w:t>
      </w:r>
      <w:r w:rsidRPr="00BE3EF4">
        <w:rPr>
          <w:color w:val="auto"/>
        </w:rPr>
        <w:t>: Band plan for Option B</w:t>
      </w:r>
      <w:r>
        <w:rPr>
          <w:color w:val="auto"/>
        </w:rPr>
        <w:t>2 in [1]</w:t>
      </w:r>
    </w:p>
    <w:p w14:paraId="4F543A45" w14:textId="7AB1704C" w:rsidR="00750225" w:rsidRPr="00885635" w:rsidRDefault="00EA7C31" w:rsidP="005E6D9D">
      <w:pPr>
        <w:pStyle w:val="NormalWeb"/>
        <w:rPr>
          <w:sz w:val="20"/>
          <w:szCs w:val="20"/>
          <w:lang w:val="en-US"/>
        </w:rPr>
      </w:pPr>
      <w:r w:rsidRPr="00885635">
        <w:rPr>
          <w:sz w:val="20"/>
          <w:szCs w:val="20"/>
          <w:lang w:val="en-US"/>
        </w:rPr>
        <w:t>Band 71 was originally specified as a dual duplexer band, since at that time filter vendors considered a 2x 35MHz duplexer as not implementable with reasonable performance concerning insertion loss as well as stop band attenuation. Meanwhile technology has improved and there are single duplexers available for band 71/n71 that can cover the 2x 35MHz with reasonable performance, however, they are still worse than usual duplexers with lower bandwidth. So having 2x 35MHz as a duplexer is still marginal</w:t>
      </w:r>
      <w:r w:rsidRPr="00885635">
        <w:rPr>
          <w:sz w:val="20"/>
          <w:szCs w:val="20"/>
          <w:lang w:val="en-US"/>
        </w:rPr>
        <w:t>, but it can be used as one duplexer</w:t>
      </w:r>
      <w:r w:rsidR="00503187">
        <w:rPr>
          <w:sz w:val="20"/>
          <w:szCs w:val="20"/>
          <w:lang w:val="en-US"/>
        </w:rPr>
        <w:t>/band</w:t>
      </w:r>
      <w:r w:rsidRPr="00885635">
        <w:rPr>
          <w:sz w:val="20"/>
          <w:szCs w:val="20"/>
          <w:lang w:val="en-US"/>
        </w:rPr>
        <w:t xml:space="preserve"> of a dual duplexer</w:t>
      </w:r>
      <w:r w:rsidR="00503187">
        <w:rPr>
          <w:sz w:val="20"/>
          <w:szCs w:val="20"/>
          <w:lang w:val="en-US"/>
        </w:rPr>
        <w:t>/band</w:t>
      </w:r>
      <w:r w:rsidRPr="00885635">
        <w:rPr>
          <w:sz w:val="20"/>
          <w:szCs w:val="20"/>
          <w:lang w:val="en-US"/>
        </w:rPr>
        <w:t xml:space="preserve"> solution. The other advantage is that meanwhile band 71/n71 is mainstream and implemented in </w:t>
      </w:r>
      <w:r w:rsidR="00503187">
        <w:rPr>
          <w:sz w:val="20"/>
          <w:szCs w:val="20"/>
          <w:lang w:val="en-US"/>
        </w:rPr>
        <w:t>a huge number of</w:t>
      </w:r>
      <w:r w:rsidRPr="00885635">
        <w:rPr>
          <w:sz w:val="20"/>
          <w:szCs w:val="20"/>
          <w:lang w:val="en-US"/>
        </w:rPr>
        <w:t xml:space="preserve"> smartphones, therefore it is useful to re-use it.</w:t>
      </w:r>
    </w:p>
    <w:p w14:paraId="0485B43F" w14:textId="2E706531" w:rsidR="00EA7C31" w:rsidRPr="00885635" w:rsidRDefault="00EA7C31" w:rsidP="005E6D9D">
      <w:pPr>
        <w:pStyle w:val="NormalWeb"/>
        <w:rPr>
          <w:sz w:val="20"/>
          <w:szCs w:val="20"/>
          <w:lang w:val="en-US"/>
        </w:rPr>
      </w:pPr>
      <w:r w:rsidRPr="00885635">
        <w:rPr>
          <w:sz w:val="20"/>
          <w:szCs w:val="20"/>
          <w:lang w:val="en-US"/>
        </w:rPr>
        <w:t>The second duplexer</w:t>
      </w:r>
      <w:r w:rsidR="00503187">
        <w:rPr>
          <w:sz w:val="20"/>
          <w:szCs w:val="20"/>
          <w:lang w:val="en-US"/>
        </w:rPr>
        <w:t>/band</w:t>
      </w:r>
      <w:r w:rsidRPr="00885635">
        <w:rPr>
          <w:sz w:val="20"/>
          <w:szCs w:val="20"/>
          <w:lang w:val="en-US"/>
        </w:rPr>
        <w:t xml:space="preserve"> can be freely specified according to the band plan. However, since the 35MHz BW is still marginal it is recommended that the second duplexer</w:t>
      </w:r>
      <w:r w:rsidR="00503187">
        <w:rPr>
          <w:sz w:val="20"/>
          <w:szCs w:val="20"/>
          <w:lang w:val="en-US"/>
        </w:rPr>
        <w:t>/band</w:t>
      </w:r>
      <w:r w:rsidRPr="00885635">
        <w:rPr>
          <w:sz w:val="20"/>
          <w:szCs w:val="20"/>
          <w:lang w:val="en-US"/>
        </w:rPr>
        <w:t xml:space="preserve"> covers less than 35 MHz for example 30MHz or less, to get a better performance of the duplexer concerning insertion loss and stopband attenuation.</w:t>
      </w:r>
    </w:p>
    <w:p w14:paraId="36077905" w14:textId="4B309138" w:rsidR="00BB62D3" w:rsidRPr="00885635" w:rsidRDefault="00BB62D3" w:rsidP="005E6D9D">
      <w:pPr>
        <w:pStyle w:val="NormalWeb"/>
        <w:rPr>
          <w:sz w:val="20"/>
          <w:szCs w:val="20"/>
          <w:lang w:val="en-US"/>
        </w:rPr>
      </w:pPr>
      <w:r w:rsidRPr="00885635">
        <w:rPr>
          <w:sz w:val="20"/>
          <w:szCs w:val="20"/>
          <w:lang w:val="en-US"/>
        </w:rPr>
        <w:t xml:space="preserve">Specifying a new dual duplexer solution is always quite difficult, as we have seen in with band 28/n28 since after the band </w:t>
      </w:r>
      <w:r w:rsidR="00885635" w:rsidRPr="00885635">
        <w:rPr>
          <w:sz w:val="20"/>
          <w:szCs w:val="20"/>
          <w:lang w:val="en-US"/>
        </w:rPr>
        <w:t>wa</w:t>
      </w:r>
      <w:r w:rsidRPr="00885635">
        <w:rPr>
          <w:sz w:val="20"/>
          <w:szCs w:val="20"/>
          <w:lang w:val="en-US"/>
        </w:rPr>
        <w:t>s specified other countries want to only use a part of it, as we have seen with the lower duplexer used in Europe and only the upper duplexer being used in Japan specifying even in-band emissions requirements to protect TV</w:t>
      </w:r>
      <w:r w:rsidR="00503187">
        <w:rPr>
          <w:sz w:val="20"/>
          <w:szCs w:val="20"/>
          <w:lang w:val="en-US"/>
        </w:rPr>
        <w:t xml:space="preserve"> below 710MHz in Japan</w:t>
      </w:r>
      <w:r w:rsidRPr="00885635">
        <w:rPr>
          <w:sz w:val="20"/>
          <w:szCs w:val="20"/>
          <w:lang w:val="en-US"/>
        </w:rPr>
        <w:t xml:space="preserve">. It would be better to just </w:t>
      </w:r>
      <w:r w:rsidR="00503187">
        <w:rPr>
          <w:sz w:val="20"/>
          <w:szCs w:val="20"/>
          <w:lang w:val="en-US"/>
        </w:rPr>
        <w:t>specify</w:t>
      </w:r>
      <w:r w:rsidRPr="00885635">
        <w:rPr>
          <w:sz w:val="20"/>
          <w:szCs w:val="20"/>
          <w:lang w:val="en-US"/>
        </w:rPr>
        <w:t xml:space="preserve"> another new band</w:t>
      </w:r>
      <w:r w:rsidR="00503187">
        <w:rPr>
          <w:sz w:val="20"/>
          <w:szCs w:val="20"/>
          <w:lang w:val="en-US"/>
        </w:rPr>
        <w:t xml:space="preserve"> </w:t>
      </w:r>
      <w:proofErr w:type="spellStart"/>
      <w:r w:rsidR="00503187">
        <w:rPr>
          <w:sz w:val="20"/>
          <w:szCs w:val="20"/>
          <w:lang w:val="en-US"/>
        </w:rPr>
        <w:t>unsing</w:t>
      </w:r>
      <w:proofErr w:type="spellEnd"/>
      <w:r w:rsidR="00503187">
        <w:rPr>
          <w:sz w:val="20"/>
          <w:szCs w:val="20"/>
          <w:lang w:val="en-US"/>
        </w:rPr>
        <w:t xml:space="preserve"> a single duplexer</w:t>
      </w:r>
      <w:r w:rsidRPr="00885635">
        <w:rPr>
          <w:sz w:val="20"/>
          <w:szCs w:val="20"/>
          <w:lang w:val="en-US"/>
        </w:rPr>
        <w:t xml:space="preserve"> instead of specifying a dual duplexer band. It would also not consider time to market or economy of scale, since it would not re-use band 71/n71, but define a new band the same frequency range. </w:t>
      </w:r>
      <w:r w:rsidR="00885635" w:rsidRPr="00885635">
        <w:rPr>
          <w:sz w:val="20"/>
          <w:szCs w:val="20"/>
          <w:lang w:val="en-US"/>
        </w:rPr>
        <w:t>A</w:t>
      </w:r>
      <w:r w:rsidRPr="00885635">
        <w:rPr>
          <w:sz w:val="20"/>
          <w:szCs w:val="20"/>
          <w:lang w:val="en-US"/>
        </w:rPr>
        <w:t xml:space="preserve">ll the existing phones already supporting band 71/n71 could </w:t>
      </w:r>
      <w:r w:rsidRPr="00885635">
        <w:rPr>
          <w:sz w:val="20"/>
          <w:szCs w:val="20"/>
          <w:lang w:val="en-US"/>
        </w:rPr>
        <w:lastRenderedPageBreak/>
        <w:t>not be used</w:t>
      </w:r>
      <w:r w:rsidR="00503187">
        <w:rPr>
          <w:sz w:val="20"/>
          <w:szCs w:val="20"/>
          <w:lang w:val="en-US"/>
        </w:rPr>
        <w:t xml:space="preserve"> with a newly specified dual duplexer band</w:t>
      </w:r>
      <w:r w:rsidRPr="00885635">
        <w:rPr>
          <w:sz w:val="20"/>
          <w:szCs w:val="20"/>
          <w:lang w:val="en-US"/>
        </w:rPr>
        <w:t xml:space="preserve">, but new phones need to be developed taking quite some time to get to the market. </w:t>
      </w:r>
      <w:r w:rsidR="00885635" w:rsidRPr="00885635">
        <w:rPr>
          <w:sz w:val="20"/>
          <w:szCs w:val="20"/>
          <w:lang w:val="en-US"/>
        </w:rPr>
        <w:t>W</w:t>
      </w:r>
      <w:r w:rsidRPr="00885635">
        <w:rPr>
          <w:sz w:val="20"/>
          <w:szCs w:val="20"/>
          <w:lang w:val="en-US"/>
        </w:rPr>
        <w:t xml:space="preserve">e propose to re-use band 71/n71 </w:t>
      </w:r>
      <w:r w:rsidR="00503187">
        <w:rPr>
          <w:sz w:val="20"/>
          <w:szCs w:val="20"/>
          <w:lang w:val="en-US"/>
        </w:rPr>
        <w:t>to cover</w:t>
      </w:r>
      <w:r w:rsidRPr="00885635">
        <w:rPr>
          <w:sz w:val="20"/>
          <w:szCs w:val="20"/>
          <w:lang w:val="en-US"/>
        </w:rPr>
        <w:t xml:space="preserve"> most of the frequency range and specify a new band using the additional spectrum available in the APT countries. </w:t>
      </w:r>
      <w:r w:rsidR="00626A2A" w:rsidRPr="00885635">
        <w:rPr>
          <w:sz w:val="20"/>
          <w:szCs w:val="20"/>
          <w:lang w:val="en-US"/>
        </w:rPr>
        <w:t xml:space="preserve">This is similar to what has been done with band 28, where bands 67 and 68 have been specified to use the spectrum within the duplex gap of band 28/n28 and to extend band 28/n28 by 5MHz below it. </w:t>
      </w:r>
      <w:r w:rsidRPr="00885635">
        <w:rPr>
          <w:sz w:val="20"/>
          <w:szCs w:val="20"/>
          <w:lang w:val="en-US"/>
        </w:rPr>
        <w:t>We would propose t</w:t>
      </w:r>
      <w:r w:rsidR="00626A2A" w:rsidRPr="00885635">
        <w:rPr>
          <w:sz w:val="20"/>
          <w:szCs w:val="20"/>
          <w:lang w:val="en-US"/>
        </w:rPr>
        <w:t>o specify a single new band</w:t>
      </w:r>
      <w:r w:rsidRPr="00885635">
        <w:rPr>
          <w:sz w:val="20"/>
          <w:szCs w:val="20"/>
          <w:lang w:val="en-US"/>
        </w:rPr>
        <w:t xml:space="preserve"> as option B2a.</w:t>
      </w:r>
    </w:p>
    <w:p w14:paraId="65EB139D" w14:textId="406E4DDF" w:rsidR="005E6D9D" w:rsidRPr="00885635" w:rsidRDefault="005E6D9D" w:rsidP="005E6D9D">
      <w:pPr>
        <w:pStyle w:val="TOC1"/>
      </w:pPr>
      <w:r w:rsidRPr="00885635">
        <w:t>Observation 2:</w:t>
      </w:r>
      <w:r w:rsidRPr="00885635">
        <w:tab/>
      </w:r>
      <w:r w:rsidRPr="00885635">
        <w:t>A</w:t>
      </w:r>
      <w:r w:rsidRPr="00885635">
        <w:t xml:space="preserve"> dual duplexer band </w:t>
      </w:r>
      <w:r w:rsidR="00D75DB8" w:rsidRPr="00885635">
        <w:t xml:space="preserve">is quite complicated to specify, as the band definition depends on the </w:t>
      </w:r>
      <w:r w:rsidR="00503187">
        <w:t xml:space="preserve">UE </w:t>
      </w:r>
      <w:r w:rsidR="00D75DB8" w:rsidRPr="00885635">
        <w:t>implementation of the duplexers used to specify the band.</w:t>
      </w:r>
    </w:p>
    <w:p w14:paraId="6196964B" w14:textId="4C6166E4" w:rsidR="005E6D9D" w:rsidRDefault="005E6D9D" w:rsidP="005E6D9D">
      <w:pPr>
        <w:pStyle w:val="TOC1"/>
      </w:pPr>
      <w:r w:rsidRPr="00885635">
        <w:t xml:space="preserve">Observation </w:t>
      </w:r>
      <w:r w:rsidRPr="00885635">
        <w:t>3</w:t>
      </w:r>
      <w:r w:rsidRPr="00885635">
        <w:t>:</w:t>
      </w:r>
      <w:r w:rsidRPr="00885635">
        <w:tab/>
      </w:r>
      <w:r w:rsidRPr="00885635">
        <w:t>Specifying a new dual duplexer band is technically possible but has the disadvantage of not using the economy of scale of existing band 71/n71 phones</w:t>
      </w:r>
    </w:p>
    <w:p w14:paraId="2224B9A1" w14:textId="3F6C50B5" w:rsidR="00C51AC6" w:rsidRPr="00C51AC6" w:rsidRDefault="00C51AC6" w:rsidP="00C51AC6">
      <w:pPr>
        <w:pStyle w:val="Proposal"/>
      </w:pPr>
      <w:r w:rsidRPr="00C51AC6">
        <w:t>Proposal 2:</w:t>
      </w:r>
      <w:r w:rsidRPr="00C51AC6">
        <w:tab/>
      </w:r>
      <w:r w:rsidRPr="00C51AC6">
        <w:t>RAN4 should not specify a new dual duplexer band as proposed in option B2, but a new single duplexer band covering the additional spectrum in APT as proposed in Option B2a</w:t>
      </w:r>
    </w:p>
    <w:p w14:paraId="4E9D1D1A" w14:textId="586E766A" w:rsidR="005E6D9D" w:rsidRPr="00885635" w:rsidRDefault="005E6D9D" w:rsidP="005E6D9D">
      <w:pPr>
        <w:pStyle w:val="Heading2"/>
      </w:pPr>
      <w:r w:rsidRPr="00885635">
        <w:t>2.2</w:t>
      </w:r>
      <w:r w:rsidRPr="00885635">
        <w:tab/>
        <w:t>Option B2</w:t>
      </w:r>
      <w:r w:rsidRPr="00885635">
        <w:t>a (modification of option B2)</w:t>
      </w:r>
    </w:p>
    <w:p w14:paraId="2695032D" w14:textId="731755A8" w:rsidR="00870BC8" w:rsidRPr="00885635" w:rsidRDefault="005E6D9D" w:rsidP="005E6D9D">
      <w:pPr>
        <w:pStyle w:val="NormalWeb"/>
        <w:rPr>
          <w:sz w:val="20"/>
          <w:szCs w:val="20"/>
          <w:lang w:val="en-US"/>
        </w:rPr>
      </w:pPr>
      <w:r w:rsidRPr="00885635">
        <w:rPr>
          <w:sz w:val="20"/>
          <w:szCs w:val="20"/>
          <w:lang w:val="en-US"/>
        </w:rPr>
        <w:t>Specifying a new dual duplexer solution</w:t>
      </w:r>
      <w:r w:rsidR="00626A2A" w:rsidRPr="00885635">
        <w:rPr>
          <w:sz w:val="20"/>
          <w:szCs w:val="20"/>
          <w:lang w:val="en-US"/>
        </w:rPr>
        <w:t xml:space="preserve"> re-using </w:t>
      </w:r>
      <w:r w:rsidR="00EE0E45" w:rsidRPr="00885635">
        <w:rPr>
          <w:sz w:val="20"/>
          <w:szCs w:val="20"/>
          <w:lang w:val="en-US"/>
        </w:rPr>
        <w:t>band 71/n71, which</w:t>
      </w:r>
      <w:r w:rsidR="00626A2A" w:rsidRPr="00885635">
        <w:rPr>
          <w:sz w:val="20"/>
          <w:szCs w:val="20"/>
          <w:lang w:val="en-US"/>
        </w:rPr>
        <w:t xml:space="preserve"> is already specified as a dual duplexer band</w:t>
      </w:r>
      <w:r w:rsidR="00EE0E45" w:rsidRPr="00885635">
        <w:rPr>
          <w:sz w:val="20"/>
          <w:szCs w:val="20"/>
          <w:lang w:val="en-US"/>
        </w:rPr>
        <w:t>,</w:t>
      </w:r>
      <w:r w:rsidR="00626A2A" w:rsidRPr="00885635">
        <w:rPr>
          <w:sz w:val="20"/>
          <w:szCs w:val="20"/>
          <w:lang w:val="en-US"/>
        </w:rPr>
        <w:t xml:space="preserve"> may be an issue, as a dual duplexer band is not very flexible when spectrum allocations change</w:t>
      </w:r>
      <w:r w:rsidRPr="00885635">
        <w:rPr>
          <w:sz w:val="20"/>
          <w:szCs w:val="20"/>
          <w:lang w:val="en-US"/>
        </w:rPr>
        <w:t xml:space="preserve">. </w:t>
      </w:r>
      <w:r w:rsidR="00626A2A" w:rsidRPr="00885635">
        <w:rPr>
          <w:sz w:val="20"/>
          <w:szCs w:val="20"/>
          <w:lang w:val="en-US"/>
        </w:rPr>
        <w:t>A new dual duplexer band</w:t>
      </w:r>
      <w:r w:rsidRPr="00885635">
        <w:rPr>
          <w:sz w:val="20"/>
          <w:szCs w:val="20"/>
          <w:lang w:val="en-US"/>
        </w:rPr>
        <w:t xml:space="preserve"> would also not consider time to market or economy of scale, since it would not re-use band 71/n71, but define a new band </w:t>
      </w:r>
      <w:r w:rsidR="00626A2A" w:rsidRPr="00885635">
        <w:rPr>
          <w:sz w:val="20"/>
          <w:szCs w:val="20"/>
          <w:lang w:val="en-US"/>
        </w:rPr>
        <w:t xml:space="preserve">in </w:t>
      </w:r>
      <w:r w:rsidRPr="00885635">
        <w:rPr>
          <w:sz w:val="20"/>
          <w:szCs w:val="20"/>
          <w:lang w:val="en-US"/>
        </w:rPr>
        <w:t>the same frequency range. Therefore all the existing phones already supporting band 71/n71 could not be used</w:t>
      </w:r>
      <w:r w:rsidR="00EE0E45" w:rsidRPr="00885635">
        <w:rPr>
          <w:sz w:val="20"/>
          <w:szCs w:val="20"/>
          <w:lang w:val="en-US"/>
        </w:rPr>
        <w:t xml:space="preserve"> in such a network</w:t>
      </w:r>
      <w:r w:rsidRPr="00885635">
        <w:rPr>
          <w:sz w:val="20"/>
          <w:szCs w:val="20"/>
          <w:lang w:val="en-US"/>
        </w:rPr>
        <w:t xml:space="preserve">, but new phones need to be developed taking quite some time to get to the market. </w:t>
      </w:r>
      <w:r w:rsidR="00626A2A" w:rsidRPr="00885635">
        <w:rPr>
          <w:sz w:val="20"/>
          <w:szCs w:val="20"/>
          <w:lang w:val="en-US"/>
        </w:rPr>
        <w:t xml:space="preserve">It would be better to add another new band </w:t>
      </w:r>
      <w:r w:rsidR="00EE0E45" w:rsidRPr="00885635">
        <w:rPr>
          <w:sz w:val="20"/>
          <w:szCs w:val="20"/>
          <w:lang w:val="en-US"/>
        </w:rPr>
        <w:t xml:space="preserve">with a single duplexer </w:t>
      </w:r>
      <w:r w:rsidR="00626A2A" w:rsidRPr="00885635">
        <w:rPr>
          <w:sz w:val="20"/>
          <w:szCs w:val="20"/>
          <w:lang w:val="en-US"/>
        </w:rPr>
        <w:t>instead of specifying a dual duplexer band.</w:t>
      </w:r>
    </w:p>
    <w:p w14:paraId="3E5D79CF" w14:textId="5F247429" w:rsidR="005E6D9D" w:rsidRPr="00885635" w:rsidRDefault="00870BC8" w:rsidP="005E6D9D">
      <w:pPr>
        <w:pStyle w:val="NormalWeb"/>
        <w:rPr>
          <w:sz w:val="20"/>
          <w:szCs w:val="20"/>
          <w:lang w:val="en-US"/>
        </w:rPr>
      </w:pPr>
      <w:r w:rsidRPr="00885635">
        <w:rPr>
          <w:sz w:val="20"/>
          <w:szCs w:val="20"/>
          <w:lang w:val="en-US"/>
        </w:rPr>
        <w:t>W</w:t>
      </w:r>
      <w:r w:rsidR="005E6D9D" w:rsidRPr="00885635">
        <w:rPr>
          <w:sz w:val="20"/>
          <w:szCs w:val="20"/>
          <w:lang w:val="en-US"/>
        </w:rPr>
        <w:t xml:space="preserve">e propose to use band 71/n71 </w:t>
      </w:r>
      <w:r w:rsidR="00FE6209">
        <w:rPr>
          <w:sz w:val="20"/>
          <w:szCs w:val="20"/>
          <w:lang w:val="en-US"/>
        </w:rPr>
        <w:t xml:space="preserve">as is </w:t>
      </w:r>
      <w:r w:rsidR="00626A2A" w:rsidRPr="00885635">
        <w:rPr>
          <w:sz w:val="20"/>
          <w:szCs w:val="20"/>
          <w:lang w:val="en-US"/>
        </w:rPr>
        <w:t>covering</w:t>
      </w:r>
      <w:r w:rsidR="005E6D9D" w:rsidRPr="00885635">
        <w:rPr>
          <w:sz w:val="20"/>
          <w:szCs w:val="20"/>
          <w:lang w:val="en-US"/>
        </w:rPr>
        <w:t xml:space="preserve"> the frequency range</w:t>
      </w:r>
      <w:r w:rsidR="00626A2A" w:rsidRPr="00885635">
        <w:rPr>
          <w:sz w:val="20"/>
          <w:szCs w:val="20"/>
          <w:lang w:val="en-US"/>
        </w:rPr>
        <w:t xml:space="preserve"> 663-698MHz for UL and 617-652MHz for DL</w:t>
      </w:r>
      <w:r w:rsidR="005E6D9D" w:rsidRPr="00885635">
        <w:rPr>
          <w:sz w:val="20"/>
          <w:szCs w:val="20"/>
          <w:lang w:val="en-US"/>
        </w:rPr>
        <w:t xml:space="preserve"> </w:t>
      </w:r>
      <w:r w:rsidR="00FE6209">
        <w:rPr>
          <w:sz w:val="20"/>
          <w:szCs w:val="20"/>
          <w:lang w:val="en-US"/>
        </w:rPr>
        <w:t xml:space="preserve">in the APT region </w:t>
      </w:r>
      <w:r w:rsidR="005E6D9D" w:rsidRPr="00885635">
        <w:rPr>
          <w:sz w:val="20"/>
          <w:szCs w:val="20"/>
          <w:lang w:val="en-US"/>
        </w:rPr>
        <w:t xml:space="preserve">and specify a new band </w:t>
      </w:r>
      <w:r w:rsidR="00EE0E45" w:rsidRPr="00885635">
        <w:rPr>
          <w:sz w:val="20"/>
          <w:szCs w:val="20"/>
          <w:lang w:val="en-US"/>
        </w:rPr>
        <w:t>covering at least</w:t>
      </w:r>
      <w:r w:rsidR="005E6D9D" w:rsidRPr="00885635">
        <w:rPr>
          <w:sz w:val="20"/>
          <w:szCs w:val="20"/>
          <w:lang w:val="en-US"/>
        </w:rPr>
        <w:t xml:space="preserve"> the additional </w:t>
      </w:r>
      <w:r w:rsidR="00EE0E45" w:rsidRPr="00885635">
        <w:rPr>
          <w:sz w:val="20"/>
          <w:szCs w:val="20"/>
          <w:lang w:val="en-US"/>
        </w:rPr>
        <w:t>2x 5MHz spectrum proposed in the SI, but it could also support up to 2x 30MHz to maximize the overlap with band 71/n71</w:t>
      </w:r>
      <w:r w:rsidRPr="00885635">
        <w:rPr>
          <w:sz w:val="20"/>
          <w:szCs w:val="20"/>
          <w:lang w:val="en-US"/>
        </w:rPr>
        <w:t xml:space="preserve"> to enable CA/DC within the new band</w:t>
      </w:r>
      <w:r w:rsidR="005E6D9D" w:rsidRPr="00885635">
        <w:rPr>
          <w:sz w:val="20"/>
          <w:szCs w:val="20"/>
          <w:lang w:val="en-US"/>
        </w:rPr>
        <w:t xml:space="preserve">. </w:t>
      </w:r>
      <w:r w:rsidRPr="00885635">
        <w:rPr>
          <w:sz w:val="20"/>
          <w:szCs w:val="20"/>
          <w:lang w:val="en-US"/>
        </w:rPr>
        <w:t xml:space="preserve">We should not specify 2x 35MHz, since the duplexer performance of a 600MHz band with 2x 35MHz is marginal, as we already see for band 71/n71. </w:t>
      </w:r>
      <w:r w:rsidR="00EE0E45" w:rsidRPr="00885635">
        <w:rPr>
          <w:sz w:val="20"/>
          <w:szCs w:val="20"/>
          <w:lang w:val="en-US"/>
        </w:rPr>
        <w:t>The new band plan could look like shown in figure 3 (thanks to Spark NZ to provide the Excel template for the figure):</w:t>
      </w:r>
    </w:p>
    <w:p w14:paraId="33416E0D" w14:textId="6A242D69" w:rsidR="00EA7C31" w:rsidRDefault="00EA7C31" w:rsidP="00750225">
      <w:pPr>
        <w:spacing w:after="0"/>
        <w:rPr>
          <w:color w:val="FF0000"/>
          <w:lang w:val="en-US"/>
        </w:rPr>
      </w:pPr>
    </w:p>
    <w:p w14:paraId="08EEF7C1" w14:textId="69093E2B" w:rsidR="00EE0E45" w:rsidRDefault="00EE0E45" w:rsidP="00750225">
      <w:pPr>
        <w:spacing w:after="0"/>
        <w:rPr>
          <w:color w:val="FF0000"/>
          <w:lang w:val="en-US"/>
        </w:rPr>
      </w:pPr>
      <w:r w:rsidRPr="00EE0E45">
        <w:rPr>
          <w:color w:val="FF0000"/>
          <w:lang w:val="en-US"/>
        </w:rPr>
        <w:drawing>
          <wp:inline distT="0" distB="0" distL="0" distR="0" wp14:anchorId="010F9944" wp14:editId="012661DD">
            <wp:extent cx="6122035" cy="38201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820160"/>
                    </a:xfrm>
                    <a:prstGeom prst="rect">
                      <a:avLst/>
                    </a:prstGeom>
                  </pic:spPr>
                </pic:pic>
              </a:graphicData>
            </a:graphic>
          </wp:inline>
        </w:drawing>
      </w:r>
    </w:p>
    <w:p w14:paraId="22A2F85A" w14:textId="77777777" w:rsidR="00FE6209" w:rsidRDefault="00FE6209" w:rsidP="00750225">
      <w:pPr>
        <w:spacing w:after="0"/>
        <w:rPr>
          <w:color w:val="FF0000"/>
          <w:lang w:val="en-US"/>
        </w:rPr>
      </w:pPr>
    </w:p>
    <w:p w14:paraId="5FB2931C" w14:textId="5302A49E" w:rsidR="00FE6209" w:rsidRPr="00BE3EF4" w:rsidRDefault="00FE6209" w:rsidP="00FE6209">
      <w:pPr>
        <w:pStyle w:val="Caption"/>
        <w:keepNext/>
        <w:jc w:val="center"/>
        <w:rPr>
          <w:color w:val="auto"/>
        </w:rPr>
      </w:pPr>
      <w:r w:rsidRPr="00BE3EF4">
        <w:rPr>
          <w:color w:val="auto"/>
        </w:rPr>
        <w:t xml:space="preserve">Figure </w:t>
      </w:r>
      <w:r>
        <w:rPr>
          <w:color w:val="auto"/>
        </w:rPr>
        <w:t>3</w:t>
      </w:r>
      <w:r w:rsidRPr="00BE3EF4">
        <w:rPr>
          <w:color w:val="auto"/>
        </w:rPr>
        <w:t>: Band plan</w:t>
      </w:r>
      <w:r>
        <w:rPr>
          <w:color w:val="auto"/>
        </w:rPr>
        <w:t xml:space="preserve"> proposal</w:t>
      </w:r>
      <w:r w:rsidRPr="00BE3EF4">
        <w:rPr>
          <w:color w:val="auto"/>
        </w:rPr>
        <w:t xml:space="preserve"> for Option B</w:t>
      </w:r>
      <w:r>
        <w:rPr>
          <w:color w:val="auto"/>
        </w:rPr>
        <w:t>2</w:t>
      </w:r>
      <w:r>
        <w:rPr>
          <w:color w:val="auto"/>
        </w:rPr>
        <w:t>a</w:t>
      </w:r>
    </w:p>
    <w:p w14:paraId="6010A1F0" w14:textId="77777777" w:rsidR="00EE0E45" w:rsidRDefault="00EE0E45" w:rsidP="00750225">
      <w:pPr>
        <w:spacing w:after="0"/>
        <w:rPr>
          <w:color w:val="FF0000"/>
          <w:lang w:val="en-US"/>
        </w:rPr>
      </w:pPr>
    </w:p>
    <w:p w14:paraId="590E3482" w14:textId="47CE45F1" w:rsidR="0052551C" w:rsidRPr="00885635" w:rsidRDefault="0052551C" w:rsidP="00EE0E45">
      <w:pPr>
        <w:pStyle w:val="NormalWeb"/>
        <w:rPr>
          <w:sz w:val="20"/>
          <w:szCs w:val="20"/>
          <w:lang w:val="en-US"/>
        </w:rPr>
      </w:pPr>
      <w:r w:rsidRPr="00885635">
        <w:rPr>
          <w:sz w:val="20"/>
          <w:szCs w:val="20"/>
          <w:lang w:val="en-US"/>
        </w:rPr>
        <w:lastRenderedPageBreak/>
        <w:t xml:space="preserve">To maximize the overlap </w:t>
      </w:r>
      <w:r w:rsidR="00885635" w:rsidRPr="00885635">
        <w:rPr>
          <w:sz w:val="20"/>
          <w:szCs w:val="20"/>
          <w:lang w:val="en-US"/>
        </w:rPr>
        <w:t xml:space="preserve">to enable CA/DC, </w:t>
      </w:r>
      <w:r w:rsidRPr="00885635">
        <w:rPr>
          <w:sz w:val="20"/>
          <w:szCs w:val="20"/>
          <w:lang w:val="en-US"/>
        </w:rPr>
        <w:t>we would propose option 5 above, th</w:t>
      </w:r>
      <w:r w:rsidR="00885635" w:rsidRPr="00885635">
        <w:rPr>
          <w:sz w:val="20"/>
          <w:szCs w:val="20"/>
          <w:lang w:val="en-US"/>
        </w:rPr>
        <w:t>is</w:t>
      </w:r>
      <w:r w:rsidRPr="00885635">
        <w:rPr>
          <w:sz w:val="20"/>
          <w:szCs w:val="20"/>
          <w:lang w:val="en-US"/>
        </w:rPr>
        <w:t xml:space="preserve"> </w:t>
      </w:r>
      <w:r w:rsidR="00885635" w:rsidRPr="00885635">
        <w:rPr>
          <w:sz w:val="20"/>
          <w:szCs w:val="20"/>
          <w:lang w:val="en-US"/>
        </w:rPr>
        <w:t xml:space="preserve">means </w:t>
      </w:r>
      <w:r w:rsidRPr="00885635">
        <w:rPr>
          <w:sz w:val="20"/>
          <w:szCs w:val="20"/>
          <w:lang w:val="en-US"/>
        </w:rPr>
        <w:t xml:space="preserve">we would specify </w:t>
      </w:r>
      <w:r w:rsidR="00885635" w:rsidRPr="00885635">
        <w:rPr>
          <w:sz w:val="20"/>
          <w:szCs w:val="20"/>
          <w:lang w:val="en-US"/>
        </w:rPr>
        <w:t xml:space="preserve">one new single duplexer FDD band </w:t>
      </w:r>
      <w:proofErr w:type="spellStart"/>
      <w:r w:rsidR="00885635" w:rsidRPr="00885635">
        <w:rPr>
          <w:sz w:val="20"/>
          <w:szCs w:val="20"/>
          <w:lang w:val="en-US"/>
        </w:rPr>
        <w:t>nyyy</w:t>
      </w:r>
      <w:proofErr w:type="spellEnd"/>
      <w:r w:rsidR="00885635" w:rsidRPr="00885635">
        <w:rPr>
          <w:sz w:val="20"/>
          <w:szCs w:val="20"/>
          <w:lang w:val="en-US"/>
        </w:rPr>
        <w:t xml:space="preserve"> additionally to band n71, which is already specified</w:t>
      </w:r>
      <w:r w:rsidR="00FE6209">
        <w:rPr>
          <w:sz w:val="20"/>
          <w:szCs w:val="20"/>
          <w:lang w:val="en-US"/>
        </w:rPr>
        <w:t>. The operating band table for this could look like in Table 1</w:t>
      </w:r>
      <w:r w:rsidR="00885635" w:rsidRPr="00885635">
        <w:rPr>
          <w:sz w:val="20"/>
          <w:szCs w:val="20"/>
          <w:lang w:val="en-US"/>
        </w:rPr>
        <w:t>:</w:t>
      </w:r>
    </w:p>
    <w:tbl>
      <w:tblPr>
        <w:tblW w:w="7737" w:type="dxa"/>
        <w:jc w:val="center"/>
        <w:tblLayout w:type="fixed"/>
        <w:tblLook w:val="04A0" w:firstRow="1" w:lastRow="0" w:firstColumn="1" w:lastColumn="0" w:noHBand="0" w:noVBand="1"/>
      </w:tblPr>
      <w:tblGrid>
        <w:gridCol w:w="1161"/>
        <w:gridCol w:w="2715"/>
        <w:gridCol w:w="2953"/>
        <w:gridCol w:w="908"/>
      </w:tblGrid>
      <w:tr w:rsidR="00885635" w:rsidRPr="001C0CC4" w14:paraId="1E9F6C9A" w14:textId="77777777" w:rsidTr="00D941C8">
        <w:trPr>
          <w:trHeight w:val="187"/>
          <w:jc w:val="center"/>
        </w:trPr>
        <w:tc>
          <w:tcPr>
            <w:tcW w:w="1161" w:type="dxa"/>
            <w:tcBorders>
              <w:top w:val="single" w:sz="4" w:space="0" w:color="auto"/>
              <w:left w:val="single" w:sz="4" w:space="0" w:color="auto"/>
              <w:bottom w:val="nil"/>
              <w:right w:val="single" w:sz="4" w:space="0" w:color="auto"/>
            </w:tcBorders>
            <w:hideMark/>
          </w:tcPr>
          <w:p w14:paraId="03452BAE" w14:textId="77777777" w:rsidR="00885635" w:rsidRPr="001C0CC4" w:rsidRDefault="00885635" w:rsidP="00D941C8">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FA95BF3" w14:textId="77777777" w:rsidR="00885635" w:rsidRPr="001C0CC4" w:rsidRDefault="00885635" w:rsidP="00D941C8">
            <w:pPr>
              <w:pStyle w:val="TAH"/>
              <w:keepNext w:val="0"/>
              <w:keepLines w:val="0"/>
              <w:widowControl w:val="0"/>
            </w:pPr>
            <w:r w:rsidRPr="001C0CC4">
              <w:t xml:space="preserve">Uplink (UL) </w:t>
            </w:r>
            <w:r w:rsidRPr="001C0CC4">
              <w:rPr>
                <w:i/>
              </w:rPr>
              <w:t>operating band</w:t>
            </w:r>
            <w:r w:rsidRPr="001C0CC4">
              <w:br/>
              <w:t>BS receive / UE transmit</w:t>
            </w:r>
          </w:p>
          <w:p w14:paraId="6F39336C" w14:textId="77777777" w:rsidR="00885635" w:rsidRPr="000F4387" w:rsidRDefault="00885635" w:rsidP="00D941C8">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076A548" w14:textId="77777777" w:rsidR="00885635" w:rsidRPr="001C0CC4" w:rsidRDefault="00885635" w:rsidP="00D941C8">
            <w:pPr>
              <w:pStyle w:val="TAH"/>
              <w:keepNext w:val="0"/>
              <w:keepLines w:val="0"/>
              <w:widowControl w:val="0"/>
            </w:pPr>
            <w:r w:rsidRPr="001C0CC4">
              <w:t xml:space="preserve">Downlink (DL) </w:t>
            </w:r>
            <w:r w:rsidRPr="001C0CC4">
              <w:rPr>
                <w:i/>
              </w:rPr>
              <w:t>operating band</w:t>
            </w:r>
            <w:r w:rsidRPr="001C0CC4">
              <w:br/>
              <w:t>BS transmit / UE receive</w:t>
            </w:r>
          </w:p>
          <w:p w14:paraId="62AF761F" w14:textId="77777777" w:rsidR="00885635" w:rsidRPr="001C0CC4" w:rsidRDefault="00885635" w:rsidP="00D941C8">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00538199" w14:textId="77777777" w:rsidR="00885635" w:rsidRPr="001C0CC4" w:rsidRDefault="00885635" w:rsidP="00D941C8">
            <w:pPr>
              <w:pStyle w:val="TAH"/>
              <w:keepNext w:val="0"/>
              <w:keepLines w:val="0"/>
              <w:widowControl w:val="0"/>
            </w:pPr>
            <w:r w:rsidRPr="001C0CC4">
              <w:t>Duplex Mode</w:t>
            </w:r>
          </w:p>
        </w:tc>
      </w:tr>
      <w:tr w:rsidR="00885635" w:rsidRPr="001C0CC4" w14:paraId="68F1EE9F" w14:textId="77777777" w:rsidTr="00D941C8">
        <w:trPr>
          <w:trHeight w:val="187"/>
          <w:jc w:val="center"/>
        </w:trPr>
        <w:tc>
          <w:tcPr>
            <w:tcW w:w="1161" w:type="dxa"/>
            <w:tcBorders>
              <w:top w:val="single" w:sz="4" w:space="0" w:color="auto"/>
              <w:left w:val="single" w:sz="4" w:space="0" w:color="auto"/>
              <w:bottom w:val="nil"/>
              <w:right w:val="single" w:sz="4" w:space="0" w:color="auto"/>
            </w:tcBorders>
            <w:hideMark/>
          </w:tcPr>
          <w:p w14:paraId="65161541" w14:textId="067FE68A" w:rsidR="00885635" w:rsidRPr="001C0CC4" w:rsidRDefault="00885635" w:rsidP="00885635">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B3A4784" w14:textId="7D6D0DFE" w:rsidR="00885635" w:rsidRPr="001C0CC4" w:rsidRDefault="00885635" w:rsidP="00885635">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5D651D2" w14:textId="3DBAA7BB" w:rsidR="00885635" w:rsidRPr="001C0CC4" w:rsidRDefault="00885635" w:rsidP="00885635">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2A0DA7FA" w14:textId="66F5CB1C" w:rsidR="00885635" w:rsidRPr="001C0CC4" w:rsidRDefault="00885635" w:rsidP="00885635">
            <w:pPr>
              <w:pStyle w:val="TAC"/>
            </w:pPr>
            <w:r w:rsidRPr="001C0CC4">
              <w:t>FDD</w:t>
            </w:r>
          </w:p>
        </w:tc>
      </w:tr>
      <w:tr w:rsidR="00885635" w:rsidRPr="001C0CC4" w14:paraId="7A94527B" w14:textId="77777777" w:rsidTr="00D941C8">
        <w:trPr>
          <w:trHeight w:val="187"/>
          <w:jc w:val="center"/>
        </w:trPr>
        <w:tc>
          <w:tcPr>
            <w:tcW w:w="1161" w:type="dxa"/>
            <w:tcBorders>
              <w:top w:val="single" w:sz="4" w:space="0" w:color="auto"/>
              <w:left w:val="single" w:sz="4" w:space="0" w:color="auto"/>
              <w:bottom w:val="nil"/>
              <w:right w:val="single" w:sz="4" w:space="0" w:color="auto"/>
            </w:tcBorders>
            <w:hideMark/>
          </w:tcPr>
          <w:p w14:paraId="245C2A92" w14:textId="4B417D8D" w:rsidR="00885635" w:rsidRPr="001C0CC4" w:rsidRDefault="00885635" w:rsidP="00D941C8">
            <w:pPr>
              <w:pStyle w:val="TAC"/>
            </w:pPr>
            <w:proofErr w:type="spellStart"/>
            <w:r w:rsidRPr="001C0CC4">
              <w:t>n</w:t>
            </w:r>
            <w:r>
              <w:t>yyy</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7ED9F096" w14:textId="527305F0" w:rsidR="00885635" w:rsidRPr="001C0CC4" w:rsidRDefault="00885635" w:rsidP="00D941C8">
            <w:pPr>
              <w:pStyle w:val="TAC"/>
            </w:pPr>
            <w:r>
              <w:t>673</w:t>
            </w:r>
            <w:r w:rsidRPr="001C0CC4">
              <w:t xml:space="preserve"> MHz – </w:t>
            </w:r>
            <w:r>
              <w:t>703</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09EFAAA0" w14:textId="1EADC8BB" w:rsidR="00885635" w:rsidRPr="001C0CC4" w:rsidRDefault="00885635" w:rsidP="00D941C8">
            <w:pPr>
              <w:pStyle w:val="TAC"/>
            </w:pPr>
            <w:r>
              <w:t>627</w:t>
            </w:r>
            <w:r w:rsidRPr="001C0CC4">
              <w:t xml:space="preserve"> MHz – </w:t>
            </w:r>
            <w:r>
              <w:t>657</w:t>
            </w:r>
            <w:r w:rsidRPr="001C0CC4">
              <w:t xml:space="preserve"> MHz</w:t>
            </w:r>
          </w:p>
        </w:tc>
        <w:tc>
          <w:tcPr>
            <w:tcW w:w="908" w:type="dxa"/>
            <w:tcBorders>
              <w:top w:val="single" w:sz="4" w:space="0" w:color="auto"/>
              <w:left w:val="single" w:sz="4" w:space="0" w:color="auto"/>
              <w:bottom w:val="nil"/>
              <w:right w:val="single" w:sz="4" w:space="0" w:color="auto"/>
            </w:tcBorders>
            <w:hideMark/>
          </w:tcPr>
          <w:p w14:paraId="4A71609D" w14:textId="77777777" w:rsidR="00885635" w:rsidRPr="001C0CC4" w:rsidRDefault="00885635" w:rsidP="00D941C8">
            <w:pPr>
              <w:pStyle w:val="TAC"/>
            </w:pPr>
            <w:r w:rsidRPr="001C0CC4">
              <w:t>FDD</w:t>
            </w:r>
          </w:p>
        </w:tc>
      </w:tr>
      <w:tr w:rsidR="00885635" w:rsidRPr="001C0CC4" w14:paraId="32103D8A" w14:textId="77777777" w:rsidTr="00D941C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8F2F24" w14:textId="474237DB" w:rsidR="00885635" w:rsidRPr="001C0CC4" w:rsidRDefault="00885635" w:rsidP="00885635">
            <w:pPr>
              <w:pStyle w:val="TAN"/>
            </w:pPr>
            <w:r w:rsidRPr="001C0CC4">
              <w:t xml:space="preserve">NOTE </w:t>
            </w:r>
            <w:r>
              <w:t>x</w:t>
            </w:r>
            <w:r w:rsidRPr="001C0CC4">
              <w:t>:</w:t>
            </w:r>
            <w:r w:rsidRPr="001C0CC4">
              <w:tab/>
              <w:t xml:space="preserve">UE that complies with the NR Band </w:t>
            </w:r>
            <w:proofErr w:type="spellStart"/>
            <w:r w:rsidRPr="001C0CC4">
              <w:t>n</w:t>
            </w:r>
            <w:r>
              <w:t>yyy</w:t>
            </w:r>
            <w:proofErr w:type="spellEnd"/>
            <w:r w:rsidRPr="001C0CC4">
              <w:t xml:space="preserve"> minimum requirements in this specification shall also comply with the NR Band n</w:t>
            </w:r>
            <w:r>
              <w:t>7</w:t>
            </w:r>
            <w:r w:rsidRPr="001C0CC4">
              <w:t>1 minimum requirements.</w:t>
            </w:r>
          </w:p>
        </w:tc>
      </w:tr>
    </w:tbl>
    <w:p w14:paraId="45B098B5" w14:textId="43812AD2" w:rsidR="00FE6209" w:rsidRPr="00BE3EF4" w:rsidRDefault="00FE6209" w:rsidP="00FE6209">
      <w:pPr>
        <w:pStyle w:val="Caption"/>
        <w:keepNext/>
        <w:jc w:val="center"/>
        <w:rPr>
          <w:color w:val="auto"/>
        </w:rPr>
      </w:pPr>
      <w:r>
        <w:rPr>
          <w:color w:val="auto"/>
        </w:rPr>
        <w:t>Table</w:t>
      </w:r>
      <w:r w:rsidRPr="00BE3EF4">
        <w:rPr>
          <w:color w:val="auto"/>
        </w:rPr>
        <w:t xml:space="preserve"> </w:t>
      </w:r>
      <w:r>
        <w:rPr>
          <w:color w:val="auto"/>
        </w:rPr>
        <w:t>1</w:t>
      </w:r>
      <w:r w:rsidRPr="00BE3EF4">
        <w:rPr>
          <w:color w:val="auto"/>
        </w:rPr>
        <w:t xml:space="preserve">: </w:t>
      </w:r>
      <w:r>
        <w:rPr>
          <w:color w:val="auto"/>
        </w:rPr>
        <w:t xml:space="preserve">Operating Band Table for </w:t>
      </w:r>
      <w:r w:rsidRPr="00BE3EF4">
        <w:rPr>
          <w:color w:val="auto"/>
        </w:rPr>
        <w:t>Option B</w:t>
      </w:r>
      <w:r>
        <w:rPr>
          <w:color w:val="auto"/>
        </w:rPr>
        <w:t>2</w:t>
      </w:r>
      <w:r>
        <w:rPr>
          <w:color w:val="auto"/>
        </w:rPr>
        <w:t>a</w:t>
      </w:r>
    </w:p>
    <w:p w14:paraId="158A3AF4" w14:textId="1153DB3C" w:rsidR="00EA7C31" w:rsidRPr="00885635" w:rsidRDefault="00EE0E45" w:rsidP="00EE0E45">
      <w:pPr>
        <w:pStyle w:val="NormalWeb"/>
        <w:rPr>
          <w:sz w:val="20"/>
          <w:szCs w:val="20"/>
          <w:lang w:val="en-US"/>
        </w:rPr>
      </w:pPr>
      <w:r w:rsidRPr="00885635">
        <w:rPr>
          <w:sz w:val="20"/>
          <w:szCs w:val="20"/>
          <w:lang w:val="en-US"/>
        </w:rPr>
        <w:t>Such a band plan would have many advantages:</w:t>
      </w:r>
    </w:p>
    <w:p w14:paraId="004366F7" w14:textId="42FF35E2" w:rsidR="00EE0E45" w:rsidRDefault="00EE0E45" w:rsidP="00EE0E45">
      <w:pPr>
        <w:pStyle w:val="NormalWeb"/>
        <w:numPr>
          <w:ilvl w:val="0"/>
          <w:numId w:val="28"/>
        </w:numPr>
        <w:rPr>
          <w:color w:val="000000" w:themeColor="text1"/>
          <w:sz w:val="20"/>
          <w:szCs w:val="20"/>
          <w:lang w:val="en-US"/>
        </w:rPr>
      </w:pPr>
      <w:r>
        <w:rPr>
          <w:color w:val="000000" w:themeColor="text1"/>
          <w:sz w:val="20"/>
          <w:szCs w:val="20"/>
          <w:lang w:val="en-US"/>
        </w:rPr>
        <w:t>Already existing phones supporting band 71/n71 can also be used in the new network in the APT region</w:t>
      </w:r>
      <w:r w:rsidR="00885635">
        <w:rPr>
          <w:color w:val="000000" w:themeColor="text1"/>
          <w:sz w:val="20"/>
          <w:szCs w:val="20"/>
          <w:lang w:val="en-US"/>
        </w:rPr>
        <w:t>, as many phones already sold in the APT region support this band</w:t>
      </w:r>
    </w:p>
    <w:p w14:paraId="65F318BE" w14:textId="6D017F39" w:rsidR="00870BC8" w:rsidRDefault="00870BC8" w:rsidP="00EE0E45">
      <w:pPr>
        <w:pStyle w:val="NormalWeb"/>
        <w:numPr>
          <w:ilvl w:val="0"/>
          <w:numId w:val="28"/>
        </w:numPr>
        <w:rPr>
          <w:color w:val="000000" w:themeColor="text1"/>
          <w:sz w:val="20"/>
          <w:szCs w:val="20"/>
          <w:lang w:val="en-US"/>
        </w:rPr>
      </w:pPr>
      <w:r>
        <w:rPr>
          <w:color w:val="000000" w:themeColor="text1"/>
          <w:sz w:val="20"/>
          <w:szCs w:val="20"/>
          <w:lang w:val="en-US"/>
        </w:rPr>
        <w:t>Phones from other regions roaming to the APT region can operate in band 71/n71</w:t>
      </w:r>
    </w:p>
    <w:p w14:paraId="6D7AA1FE" w14:textId="2799F469" w:rsidR="00870BC8" w:rsidRDefault="00870BC8" w:rsidP="00EE0E45">
      <w:pPr>
        <w:pStyle w:val="NormalWeb"/>
        <w:numPr>
          <w:ilvl w:val="0"/>
          <w:numId w:val="28"/>
        </w:numPr>
        <w:rPr>
          <w:color w:val="000000" w:themeColor="text1"/>
          <w:sz w:val="20"/>
          <w:szCs w:val="20"/>
          <w:lang w:val="en-US"/>
        </w:rPr>
      </w:pPr>
      <w:r>
        <w:rPr>
          <w:color w:val="000000" w:themeColor="text1"/>
          <w:sz w:val="20"/>
          <w:szCs w:val="20"/>
          <w:lang w:val="en-US"/>
        </w:rPr>
        <w:t>Phones from the APT region supporting the new band and band 71/n71 can operate in ITU Region 2</w:t>
      </w:r>
    </w:p>
    <w:p w14:paraId="5842224E" w14:textId="35544CFC" w:rsidR="00870BC8" w:rsidRDefault="00870BC8" w:rsidP="00EE0E45">
      <w:pPr>
        <w:pStyle w:val="NormalWeb"/>
        <w:numPr>
          <w:ilvl w:val="0"/>
          <w:numId w:val="28"/>
        </w:numPr>
        <w:rPr>
          <w:color w:val="000000" w:themeColor="text1"/>
          <w:sz w:val="20"/>
          <w:szCs w:val="20"/>
          <w:lang w:val="en-US"/>
        </w:rPr>
      </w:pPr>
      <w:r>
        <w:rPr>
          <w:color w:val="000000" w:themeColor="text1"/>
          <w:sz w:val="20"/>
          <w:szCs w:val="20"/>
          <w:lang w:val="en-US"/>
        </w:rPr>
        <w:t>The fact that band 71/n71 can be used in the new region will result in a quick time to market of a 600MHz deployment in the APT region, since all existing phones supporting band 71/n71 can be used from the beginning</w:t>
      </w:r>
      <w:r w:rsidR="00885635">
        <w:rPr>
          <w:color w:val="000000" w:themeColor="text1"/>
          <w:sz w:val="20"/>
          <w:szCs w:val="20"/>
          <w:lang w:val="en-US"/>
        </w:rPr>
        <w:t>, no need to wait for phone development</w:t>
      </w:r>
    </w:p>
    <w:p w14:paraId="74497D61" w14:textId="20B2E4AE" w:rsidR="00870BC8" w:rsidRDefault="00870BC8" w:rsidP="00EE0E45">
      <w:pPr>
        <w:pStyle w:val="NormalWeb"/>
        <w:numPr>
          <w:ilvl w:val="0"/>
          <w:numId w:val="28"/>
        </w:numPr>
        <w:rPr>
          <w:color w:val="000000" w:themeColor="text1"/>
          <w:sz w:val="20"/>
          <w:szCs w:val="20"/>
          <w:lang w:val="en-US"/>
        </w:rPr>
      </w:pPr>
      <w:r>
        <w:rPr>
          <w:color w:val="000000" w:themeColor="text1"/>
          <w:sz w:val="20"/>
          <w:szCs w:val="20"/>
          <w:lang w:val="en-US"/>
        </w:rPr>
        <w:t>RAN4 can specify that a UE supporting the new band also needs to support band 71/n71, as we already did previously, for example with bands 50/51 and 75/76</w:t>
      </w:r>
    </w:p>
    <w:p w14:paraId="4E83AE2E" w14:textId="0B0DBC04" w:rsidR="00EE0E45" w:rsidRDefault="00870BC8" w:rsidP="00EE0E45">
      <w:pPr>
        <w:pStyle w:val="NormalWeb"/>
        <w:numPr>
          <w:ilvl w:val="0"/>
          <w:numId w:val="28"/>
        </w:numPr>
        <w:rPr>
          <w:color w:val="000000" w:themeColor="text1"/>
          <w:sz w:val="20"/>
          <w:szCs w:val="20"/>
          <w:lang w:val="en-US"/>
        </w:rPr>
      </w:pPr>
      <w:r>
        <w:rPr>
          <w:color w:val="000000" w:themeColor="text1"/>
          <w:sz w:val="20"/>
          <w:szCs w:val="20"/>
          <w:lang w:val="en-US"/>
        </w:rPr>
        <w:t xml:space="preserve">The new APT spectrum </w:t>
      </w:r>
      <w:r w:rsidR="00885635">
        <w:rPr>
          <w:color w:val="000000" w:themeColor="text1"/>
          <w:sz w:val="20"/>
          <w:szCs w:val="20"/>
          <w:lang w:val="en-US"/>
        </w:rPr>
        <w:t xml:space="preserve">additional to band 71/n71 </w:t>
      </w:r>
      <w:r>
        <w:rPr>
          <w:color w:val="000000" w:themeColor="text1"/>
          <w:sz w:val="20"/>
          <w:szCs w:val="20"/>
          <w:lang w:val="en-US"/>
        </w:rPr>
        <w:t>can be used with the newly specified band</w:t>
      </w:r>
    </w:p>
    <w:p w14:paraId="493BEBAB" w14:textId="69F0231A" w:rsidR="00870BC8" w:rsidRDefault="00870BC8" w:rsidP="00EE0E45">
      <w:pPr>
        <w:pStyle w:val="NormalWeb"/>
        <w:numPr>
          <w:ilvl w:val="0"/>
          <w:numId w:val="28"/>
        </w:numPr>
        <w:rPr>
          <w:color w:val="000000" w:themeColor="text1"/>
          <w:sz w:val="20"/>
          <w:szCs w:val="20"/>
          <w:lang w:val="en-US"/>
        </w:rPr>
      </w:pPr>
      <w:r>
        <w:rPr>
          <w:color w:val="000000" w:themeColor="text1"/>
          <w:sz w:val="20"/>
          <w:szCs w:val="20"/>
          <w:lang w:val="en-US"/>
        </w:rPr>
        <w:t xml:space="preserve">There is no need to specify RF requirements based on </w:t>
      </w:r>
      <w:r w:rsidR="00885635">
        <w:rPr>
          <w:color w:val="000000" w:themeColor="text1"/>
          <w:sz w:val="20"/>
          <w:szCs w:val="20"/>
          <w:lang w:val="en-US"/>
        </w:rPr>
        <w:t>a</w:t>
      </w:r>
      <w:r>
        <w:rPr>
          <w:color w:val="000000" w:themeColor="text1"/>
          <w:sz w:val="20"/>
          <w:szCs w:val="20"/>
          <w:lang w:val="en-US"/>
        </w:rPr>
        <w:t xml:space="preserve"> dual duplexer architecture of the UE, definition of this band seems quite straightforward</w:t>
      </w:r>
    </w:p>
    <w:p w14:paraId="56C91BF6" w14:textId="496DFE22" w:rsidR="00870BC8" w:rsidRDefault="00870BC8" w:rsidP="00EE0E45">
      <w:pPr>
        <w:pStyle w:val="NormalWeb"/>
        <w:numPr>
          <w:ilvl w:val="0"/>
          <w:numId w:val="28"/>
        </w:numPr>
        <w:rPr>
          <w:color w:val="000000" w:themeColor="text1"/>
          <w:sz w:val="20"/>
          <w:szCs w:val="20"/>
          <w:lang w:val="en-US"/>
        </w:rPr>
      </w:pPr>
      <w:r>
        <w:rPr>
          <w:color w:val="000000" w:themeColor="text1"/>
          <w:sz w:val="20"/>
          <w:szCs w:val="20"/>
          <w:lang w:val="en-US"/>
        </w:rPr>
        <w:t>When defining a 30MHz wide new band as in Option 5 above, there can be CA within these 30MHz, even if part of this CA/DC frequency range belongs to band 71/n71</w:t>
      </w:r>
    </w:p>
    <w:p w14:paraId="3FD4C6AF" w14:textId="77777777" w:rsidR="00EE0E45" w:rsidRPr="00870BC8" w:rsidRDefault="00EE0E45" w:rsidP="00750225">
      <w:pPr>
        <w:spacing w:after="0"/>
        <w:rPr>
          <w:rFonts w:ascii="Helvetica" w:hAnsi="Helvetica"/>
          <w:color w:val="FF0000"/>
          <w:sz w:val="18"/>
          <w:szCs w:val="18"/>
          <w:lang w:val="en-US" w:eastAsia="en-GB"/>
        </w:rPr>
      </w:pPr>
    </w:p>
    <w:p w14:paraId="3CEA8C28" w14:textId="0C3EA0FB" w:rsidR="00440A25" w:rsidRPr="00C51AC6" w:rsidRDefault="00C4509D" w:rsidP="00C4509D">
      <w:pPr>
        <w:pStyle w:val="Proposal"/>
      </w:pPr>
      <w:r w:rsidRPr="00C51AC6">
        <w:t xml:space="preserve">Proposal </w:t>
      </w:r>
      <w:r w:rsidR="00C51AC6" w:rsidRPr="00C51AC6">
        <w:t>3</w:t>
      </w:r>
      <w:r w:rsidRPr="00C51AC6">
        <w:t>:</w:t>
      </w:r>
      <w:r w:rsidRPr="00C51AC6">
        <w:tab/>
      </w:r>
      <w:r w:rsidR="00885635" w:rsidRPr="00C51AC6">
        <w:t>Specify a new single duplexer FDD band covering 673-703MHz UL and 627-657MHz DL and mandate support of band 71/n71 to be supported together with this band</w:t>
      </w:r>
    </w:p>
    <w:p w14:paraId="34C99636" w14:textId="77777777" w:rsidR="008E7986" w:rsidRPr="00B279F8" w:rsidRDefault="008E7986" w:rsidP="008E7986">
      <w:pPr>
        <w:pStyle w:val="Heading1"/>
      </w:pPr>
      <w:r w:rsidRPr="00B279F8">
        <w:t>3</w:t>
      </w:r>
      <w:r w:rsidRPr="00B279F8">
        <w:tab/>
        <w:t>Conclusions</w:t>
      </w:r>
    </w:p>
    <w:p w14:paraId="15E466D8" w14:textId="77777777" w:rsidR="00BE3EF4" w:rsidRPr="00BE3EF4" w:rsidRDefault="00BE3EF4" w:rsidP="00BE3EF4">
      <w:pPr>
        <w:pStyle w:val="TOC1"/>
      </w:pPr>
      <w:r w:rsidRPr="00BE3EF4">
        <w:t>Observation 1:</w:t>
      </w:r>
      <w:r w:rsidRPr="00BE3EF4">
        <w:tab/>
        <w:t>In the 600MHz frequency range the maximum realizable bandwidth for a single duplexer solution using available technologies is 35 MHz, better performance is achieved with 30MHz</w:t>
      </w:r>
    </w:p>
    <w:p w14:paraId="3C440897" w14:textId="77777777" w:rsidR="009E1C45" w:rsidRPr="00885635" w:rsidRDefault="009E1C45" w:rsidP="009E1C45">
      <w:pPr>
        <w:pStyle w:val="TOC1"/>
      </w:pPr>
      <w:r w:rsidRPr="00885635">
        <w:t>Observation 2:</w:t>
      </w:r>
      <w:r w:rsidRPr="00885635">
        <w:tab/>
        <w:t xml:space="preserve">A dual duplexer band is quite complicated to specify, as the band definition depends on the </w:t>
      </w:r>
      <w:r>
        <w:t xml:space="preserve">UE </w:t>
      </w:r>
      <w:r w:rsidRPr="00885635">
        <w:t>implementation of the duplexers used to specify the band.</w:t>
      </w:r>
    </w:p>
    <w:p w14:paraId="306F5A47" w14:textId="77777777" w:rsidR="009E1C45" w:rsidRDefault="009E1C45" w:rsidP="009E1C45">
      <w:pPr>
        <w:pStyle w:val="TOC1"/>
      </w:pPr>
      <w:r w:rsidRPr="00885635">
        <w:t>Observation 3:</w:t>
      </w:r>
      <w:r w:rsidRPr="00885635">
        <w:tab/>
        <w:t>Specifying a new dual duplexer band is technically possible but has the disadvantage of not using the economy of scale of existing band 71/n71 phones</w:t>
      </w:r>
    </w:p>
    <w:p w14:paraId="73628561" w14:textId="77777777" w:rsidR="00BE3EF4" w:rsidRPr="00BE3EF4" w:rsidRDefault="00BE3EF4" w:rsidP="00BE3EF4">
      <w:pPr>
        <w:pStyle w:val="Proposal"/>
      </w:pPr>
      <w:r w:rsidRPr="00BE3EF4">
        <w:t>Proposal 1:</w:t>
      </w:r>
      <w:r w:rsidRPr="00BE3EF4">
        <w:tab/>
        <w:t>Option B1 should not be used as a 2x 40MHz duplexer doesn’t seem to be possible with reasonable performance, size and cost</w:t>
      </w:r>
    </w:p>
    <w:p w14:paraId="32FAA6EE" w14:textId="77777777" w:rsidR="00C51AC6" w:rsidRPr="00C51AC6" w:rsidRDefault="00C51AC6" w:rsidP="00C51AC6">
      <w:pPr>
        <w:pStyle w:val="Proposal"/>
      </w:pPr>
      <w:r w:rsidRPr="00C51AC6">
        <w:t>Proposal 2:</w:t>
      </w:r>
      <w:r w:rsidRPr="00C51AC6">
        <w:tab/>
        <w:t>RAN4 should not specify a new dual duplexer band as proposed in option B2, but a new single duplexer band covering the additional spectrum in APT as proposed in Option B2a</w:t>
      </w:r>
    </w:p>
    <w:p w14:paraId="19E2768C" w14:textId="77777777" w:rsidR="00C51AC6" w:rsidRPr="00C51AC6" w:rsidRDefault="00C51AC6" w:rsidP="00C51AC6">
      <w:pPr>
        <w:pStyle w:val="Proposal"/>
      </w:pPr>
      <w:r w:rsidRPr="00C51AC6">
        <w:t>Proposal 3:</w:t>
      </w:r>
      <w:r w:rsidRPr="00C51AC6">
        <w:tab/>
        <w:t>Specify a new single duplexer FDD band covering 673-703MHz UL and 627-657MHz DL and mandate support of band 71/n71 to be supported together with this band</w:t>
      </w:r>
    </w:p>
    <w:p w14:paraId="4E5FC9C0" w14:textId="2EEABF13" w:rsidR="00F82A53" w:rsidRPr="00C51AC6" w:rsidRDefault="00F82A53" w:rsidP="00F82A53">
      <w:pPr>
        <w:pStyle w:val="Heading1"/>
      </w:pPr>
      <w:r w:rsidRPr="00C51AC6">
        <w:lastRenderedPageBreak/>
        <w:t>4</w:t>
      </w:r>
      <w:r w:rsidRPr="00C51AC6">
        <w:tab/>
        <w:t>References</w:t>
      </w:r>
    </w:p>
    <w:p w14:paraId="7EC938CE" w14:textId="29320E3A" w:rsidR="00CE59F7" w:rsidRPr="00C51AC6" w:rsidRDefault="00C51AC6" w:rsidP="00CE59F7">
      <w:pPr>
        <w:pStyle w:val="EX"/>
      </w:pPr>
      <w:bookmarkStart w:id="1" w:name="_Ref13820109"/>
      <w:r w:rsidRPr="00C51AC6">
        <w:t>RP-202924</w:t>
      </w:r>
      <w:r w:rsidR="00F82A53" w:rsidRPr="00C51AC6">
        <w:t xml:space="preserve">, </w:t>
      </w:r>
      <w:bookmarkEnd w:id="1"/>
      <w:r w:rsidR="00FA5857" w:rsidRPr="00C51AC6">
        <w:t>“</w:t>
      </w:r>
      <w:r w:rsidRPr="00C51AC6">
        <w:rPr>
          <w:lang w:val="en-US"/>
        </w:rPr>
        <w:t>New SID on extended 600 MHz NR band</w:t>
      </w:r>
      <w:r w:rsidR="00CE59F7" w:rsidRPr="00C51AC6">
        <w:rPr>
          <w:lang w:val="en-US"/>
        </w:rPr>
        <w:t>”</w:t>
      </w:r>
      <w:r w:rsidR="00FA5857" w:rsidRPr="00C51AC6">
        <w:rPr>
          <w:lang w:val="en-US"/>
        </w:rPr>
        <w:t xml:space="preserve">, </w:t>
      </w:r>
      <w:r w:rsidRPr="00C51AC6">
        <w:rPr>
          <w:lang w:val="en-US"/>
        </w:rPr>
        <w:t>Spark NZ, CBN</w:t>
      </w:r>
      <w:r w:rsidR="00FA5857" w:rsidRPr="00C51AC6">
        <w:rPr>
          <w:lang w:val="en-US"/>
        </w:rPr>
        <w:t>, 3GPP RAN #</w:t>
      </w:r>
      <w:r w:rsidRPr="00C51AC6">
        <w:rPr>
          <w:lang w:val="en-US"/>
        </w:rPr>
        <w:t>90</w:t>
      </w:r>
      <w:r w:rsidR="00CE59F7" w:rsidRPr="00C51AC6">
        <w:rPr>
          <w:lang w:val="en-US"/>
        </w:rPr>
        <w:t>e</w:t>
      </w:r>
      <w:r w:rsidR="00FA5857" w:rsidRPr="00C51AC6">
        <w:rPr>
          <w:lang w:val="en-US"/>
        </w:rPr>
        <w:t xml:space="preserve">, </w:t>
      </w:r>
      <w:r w:rsidRPr="00C51AC6">
        <w:rPr>
          <w:lang w:val="en-US"/>
        </w:rPr>
        <w:t>December</w:t>
      </w:r>
      <w:r w:rsidR="00CE59F7" w:rsidRPr="00C51AC6">
        <w:rPr>
          <w:lang w:val="en-US"/>
        </w:rPr>
        <w:t xml:space="preserve"> </w:t>
      </w:r>
      <w:r w:rsidR="00FA5857" w:rsidRPr="00C51AC6">
        <w:rPr>
          <w:lang w:val="en-US"/>
        </w:rPr>
        <w:t>20</w:t>
      </w:r>
      <w:r w:rsidR="00CE59F7" w:rsidRPr="00C51AC6">
        <w:rPr>
          <w:lang w:val="en-US"/>
        </w:rPr>
        <w:t>20</w:t>
      </w:r>
    </w:p>
    <w:p w14:paraId="56017CFA" w14:textId="74A1A343" w:rsidR="00B279F8" w:rsidRPr="00C51AC6" w:rsidRDefault="00B279F8" w:rsidP="00B279F8">
      <w:pPr>
        <w:pStyle w:val="EX"/>
      </w:pPr>
      <w:r w:rsidRPr="00C51AC6">
        <w:t>RP-202</w:t>
      </w:r>
      <w:r>
        <w:t>143</w:t>
      </w:r>
      <w:r w:rsidRPr="00C51AC6">
        <w:t>, “</w:t>
      </w:r>
      <w:r w:rsidRPr="00B279F8">
        <w:rPr>
          <w:lang w:val="en-US"/>
        </w:rPr>
        <w:t>LS on Frequency arrangements for IMT in the band 470-703MHz</w:t>
      </w:r>
      <w:r w:rsidRPr="00C51AC6">
        <w:rPr>
          <w:lang w:val="en-US"/>
        </w:rPr>
        <w:t xml:space="preserve">”, </w:t>
      </w:r>
      <w:r w:rsidRPr="00B279F8">
        <w:rPr>
          <w:lang w:val="en-US"/>
        </w:rPr>
        <w:t xml:space="preserve">Asia-Pacific </w:t>
      </w:r>
      <w:proofErr w:type="spellStart"/>
      <w:r w:rsidRPr="00B279F8">
        <w:rPr>
          <w:lang w:val="en-US"/>
        </w:rPr>
        <w:t>Telecommunity</w:t>
      </w:r>
      <w:proofErr w:type="spellEnd"/>
      <w:r w:rsidRPr="00C51AC6">
        <w:rPr>
          <w:lang w:val="en-US"/>
        </w:rPr>
        <w:t>, 3GPP RAN #90e, December 2020</w:t>
      </w:r>
      <w:bookmarkEnd w:id="0"/>
    </w:p>
    <w:sectPr w:rsidR="00B279F8" w:rsidRPr="00C51AC6"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70B30" w14:textId="77777777" w:rsidR="003C3E42" w:rsidRDefault="003C3E42">
      <w:r>
        <w:separator/>
      </w:r>
    </w:p>
  </w:endnote>
  <w:endnote w:type="continuationSeparator" w:id="0">
    <w:p w14:paraId="66A396F2" w14:textId="77777777" w:rsidR="003C3E42" w:rsidRDefault="003C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6DD05F17" w:rsidR="00C4509D" w:rsidRDefault="00C4509D">
    <w:pPr>
      <w:pStyle w:val="Footer"/>
    </w:pPr>
    <w:r>
      <w:t>Apple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07A11439" w:rsidR="00C4509D" w:rsidRDefault="00C4509D" w:rsidP="00114E2C">
    <w:pPr>
      <w:pStyle w:val="Footer"/>
    </w:pPr>
    <w:r>
      <w:t>Apple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05A66" w14:textId="77777777" w:rsidR="003C3E42" w:rsidRDefault="003C3E42">
      <w:r>
        <w:separator/>
      </w:r>
    </w:p>
  </w:footnote>
  <w:footnote w:type="continuationSeparator" w:id="0">
    <w:p w14:paraId="4334503F" w14:textId="77777777" w:rsidR="003C3E42" w:rsidRDefault="003C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C4509D" w:rsidRDefault="00C450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4509D" w:rsidRDefault="00C45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5"/>
  </w:num>
  <w:num w:numId="6">
    <w:abstractNumId w:val="5"/>
  </w:num>
  <w:num w:numId="7">
    <w:abstractNumId w:val="19"/>
  </w:num>
  <w:num w:numId="8">
    <w:abstractNumId w:val="8"/>
  </w:num>
  <w:num w:numId="9">
    <w:abstractNumId w:val="20"/>
  </w:num>
  <w:num w:numId="10">
    <w:abstractNumId w:val="4"/>
  </w:num>
  <w:num w:numId="11">
    <w:abstractNumId w:val="24"/>
  </w:num>
  <w:num w:numId="12">
    <w:abstractNumId w:val="2"/>
  </w:num>
  <w:num w:numId="13">
    <w:abstractNumId w:val="21"/>
  </w:num>
  <w:num w:numId="14">
    <w:abstractNumId w:val="12"/>
  </w:num>
  <w:num w:numId="15">
    <w:abstractNumId w:val="9"/>
  </w:num>
  <w:num w:numId="16">
    <w:abstractNumId w:val="32"/>
  </w:num>
  <w:num w:numId="17">
    <w:abstractNumId w:val="30"/>
  </w:num>
  <w:num w:numId="18">
    <w:abstractNumId w:val="31"/>
  </w:num>
  <w:num w:numId="19">
    <w:abstractNumId w:val="7"/>
  </w:num>
  <w:num w:numId="20">
    <w:abstractNumId w:val="26"/>
  </w:num>
  <w:num w:numId="21">
    <w:abstractNumId w:val="25"/>
  </w:num>
  <w:num w:numId="22">
    <w:abstractNumId w:val="6"/>
  </w:num>
  <w:num w:numId="23">
    <w:abstractNumId w:val="22"/>
  </w:num>
  <w:num w:numId="24">
    <w:abstractNumId w:val="13"/>
  </w:num>
  <w:num w:numId="25">
    <w:abstractNumId w:val="27"/>
  </w:num>
  <w:num w:numId="26">
    <w:abstractNumId w:val="18"/>
  </w:num>
  <w:num w:numId="27">
    <w:abstractNumId w:val="15"/>
  </w:num>
  <w:num w:numId="28">
    <w:abstractNumId w:val="17"/>
  </w:num>
  <w:num w:numId="29">
    <w:abstractNumId w:val="1"/>
  </w:num>
  <w:num w:numId="30">
    <w:abstractNumId w:val="16"/>
  </w:num>
  <w:num w:numId="31">
    <w:abstractNumId w:val="14"/>
  </w:num>
  <w:num w:numId="32">
    <w:abstractNumId w:val="23"/>
  </w:num>
  <w:num w:numId="33">
    <w:abstractNumId w:val="10"/>
  </w:num>
  <w:num w:numId="34">
    <w:abstractNumId w:val="2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C9D"/>
    <w:rsid w:val="00033397"/>
    <w:rsid w:val="00040095"/>
    <w:rsid w:val="00043126"/>
    <w:rsid w:val="00051834"/>
    <w:rsid w:val="00054A22"/>
    <w:rsid w:val="00062023"/>
    <w:rsid w:val="00063D41"/>
    <w:rsid w:val="000655A6"/>
    <w:rsid w:val="00080512"/>
    <w:rsid w:val="000A365D"/>
    <w:rsid w:val="000A6409"/>
    <w:rsid w:val="000A68F3"/>
    <w:rsid w:val="000B49E9"/>
    <w:rsid w:val="000C0618"/>
    <w:rsid w:val="000C47C3"/>
    <w:rsid w:val="000C5E21"/>
    <w:rsid w:val="000D58AB"/>
    <w:rsid w:val="000F3A6A"/>
    <w:rsid w:val="00104BC6"/>
    <w:rsid w:val="00111D8A"/>
    <w:rsid w:val="00114C9B"/>
    <w:rsid w:val="00114E2C"/>
    <w:rsid w:val="00127DAC"/>
    <w:rsid w:val="00133525"/>
    <w:rsid w:val="00140AF8"/>
    <w:rsid w:val="00173D3F"/>
    <w:rsid w:val="00187FC3"/>
    <w:rsid w:val="001974A5"/>
    <w:rsid w:val="001A233A"/>
    <w:rsid w:val="001A4C42"/>
    <w:rsid w:val="001A5C3B"/>
    <w:rsid w:val="001C21C3"/>
    <w:rsid w:val="001D02C2"/>
    <w:rsid w:val="001F0C1D"/>
    <w:rsid w:val="001F1132"/>
    <w:rsid w:val="001F168B"/>
    <w:rsid w:val="0021021F"/>
    <w:rsid w:val="0022017B"/>
    <w:rsid w:val="0022228A"/>
    <w:rsid w:val="002347A2"/>
    <w:rsid w:val="002409A7"/>
    <w:rsid w:val="00247926"/>
    <w:rsid w:val="00264C5D"/>
    <w:rsid w:val="002675F0"/>
    <w:rsid w:val="00276EE4"/>
    <w:rsid w:val="0029139E"/>
    <w:rsid w:val="002A4AB3"/>
    <w:rsid w:val="002B6339"/>
    <w:rsid w:val="002B7E71"/>
    <w:rsid w:val="002C37CE"/>
    <w:rsid w:val="002C6647"/>
    <w:rsid w:val="002E00EE"/>
    <w:rsid w:val="002E2F47"/>
    <w:rsid w:val="002E5BCE"/>
    <w:rsid w:val="003068EC"/>
    <w:rsid w:val="003172DC"/>
    <w:rsid w:val="0034052F"/>
    <w:rsid w:val="00342646"/>
    <w:rsid w:val="0035462D"/>
    <w:rsid w:val="003712C6"/>
    <w:rsid w:val="003765B8"/>
    <w:rsid w:val="003852D0"/>
    <w:rsid w:val="003A0483"/>
    <w:rsid w:val="003C0DD3"/>
    <w:rsid w:val="003C3971"/>
    <w:rsid w:val="003C3E42"/>
    <w:rsid w:val="003D6DFD"/>
    <w:rsid w:val="003E7753"/>
    <w:rsid w:val="003F0D33"/>
    <w:rsid w:val="00423334"/>
    <w:rsid w:val="004345EC"/>
    <w:rsid w:val="00440A25"/>
    <w:rsid w:val="004637D3"/>
    <w:rsid w:val="00473181"/>
    <w:rsid w:val="00481321"/>
    <w:rsid w:val="004826A9"/>
    <w:rsid w:val="004A636C"/>
    <w:rsid w:val="004C1601"/>
    <w:rsid w:val="004D3578"/>
    <w:rsid w:val="004E213A"/>
    <w:rsid w:val="004F0988"/>
    <w:rsid w:val="004F3340"/>
    <w:rsid w:val="004F3E3D"/>
    <w:rsid w:val="00503187"/>
    <w:rsid w:val="005036A1"/>
    <w:rsid w:val="0050663D"/>
    <w:rsid w:val="005120B8"/>
    <w:rsid w:val="0052551C"/>
    <w:rsid w:val="0053388B"/>
    <w:rsid w:val="00535773"/>
    <w:rsid w:val="00543E6C"/>
    <w:rsid w:val="00562E96"/>
    <w:rsid w:val="00565087"/>
    <w:rsid w:val="00572E14"/>
    <w:rsid w:val="005921F8"/>
    <w:rsid w:val="00594F57"/>
    <w:rsid w:val="005973BE"/>
    <w:rsid w:val="005A5986"/>
    <w:rsid w:val="005C7DF2"/>
    <w:rsid w:val="005D2E01"/>
    <w:rsid w:val="005D7526"/>
    <w:rsid w:val="005E0DC0"/>
    <w:rsid w:val="005E69AE"/>
    <w:rsid w:val="005E6D9D"/>
    <w:rsid w:val="005E6E2B"/>
    <w:rsid w:val="00602AEA"/>
    <w:rsid w:val="006073EA"/>
    <w:rsid w:val="00607721"/>
    <w:rsid w:val="00607E3C"/>
    <w:rsid w:val="0061184C"/>
    <w:rsid w:val="00614FDF"/>
    <w:rsid w:val="006246A7"/>
    <w:rsid w:val="0062595A"/>
    <w:rsid w:val="00626A2A"/>
    <w:rsid w:val="0063543D"/>
    <w:rsid w:val="00640909"/>
    <w:rsid w:val="00640A0F"/>
    <w:rsid w:val="00647114"/>
    <w:rsid w:val="00672845"/>
    <w:rsid w:val="0069083A"/>
    <w:rsid w:val="006913B3"/>
    <w:rsid w:val="00695D25"/>
    <w:rsid w:val="006A323F"/>
    <w:rsid w:val="006A72DB"/>
    <w:rsid w:val="006B30D0"/>
    <w:rsid w:val="006C1ECB"/>
    <w:rsid w:val="006C3D95"/>
    <w:rsid w:val="006C6705"/>
    <w:rsid w:val="006E25D1"/>
    <w:rsid w:val="006E5C86"/>
    <w:rsid w:val="00713C44"/>
    <w:rsid w:val="00734A5B"/>
    <w:rsid w:val="00737475"/>
    <w:rsid w:val="0074026F"/>
    <w:rsid w:val="007429F6"/>
    <w:rsid w:val="00744E76"/>
    <w:rsid w:val="00750225"/>
    <w:rsid w:val="00752198"/>
    <w:rsid w:val="00753881"/>
    <w:rsid w:val="00762677"/>
    <w:rsid w:val="00774DA4"/>
    <w:rsid w:val="00781F0F"/>
    <w:rsid w:val="00794ABC"/>
    <w:rsid w:val="007A789C"/>
    <w:rsid w:val="007B600E"/>
    <w:rsid w:val="007C62F4"/>
    <w:rsid w:val="007F0F4A"/>
    <w:rsid w:val="007F3BEB"/>
    <w:rsid w:val="007F4CF9"/>
    <w:rsid w:val="007F6F86"/>
    <w:rsid w:val="00800AA4"/>
    <w:rsid w:val="008028A4"/>
    <w:rsid w:val="00806047"/>
    <w:rsid w:val="00820B25"/>
    <w:rsid w:val="00827285"/>
    <w:rsid w:val="00830747"/>
    <w:rsid w:val="00847B1B"/>
    <w:rsid w:val="00867158"/>
    <w:rsid w:val="00870BC8"/>
    <w:rsid w:val="008768CA"/>
    <w:rsid w:val="00884741"/>
    <w:rsid w:val="00885635"/>
    <w:rsid w:val="0089633C"/>
    <w:rsid w:val="008A6714"/>
    <w:rsid w:val="008B6C87"/>
    <w:rsid w:val="008C384C"/>
    <w:rsid w:val="008C494B"/>
    <w:rsid w:val="008D7FE6"/>
    <w:rsid w:val="008E7986"/>
    <w:rsid w:val="008F464F"/>
    <w:rsid w:val="008F5FF0"/>
    <w:rsid w:val="0090271F"/>
    <w:rsid w:val="00902E23"/>
    <w:rsid w:val="00910537"/>
    <w:rsid w:val="009114D7"/>
    <w:rsid w:val="0091348E"/>
    <w:rsid w:val="00917CCB"/>
    <w:rsid w:val="00942EC2"/>
    <w:rsid w:val="00970ECC"/>
    <w:rsid w:val="009B7FD0"/>
    <w:rsid w:val="009C1F6B"/>
    <w:rsid w:val="009C3E7B"/>
    <w:rsid w:val="009D5A49"/>
    <w:rsid w:val="009D74AF"/>
    <w:rsid w:val="009E1C45"/>
    <w:rsid w:val="009E7FCF"/>
    <w:rsid w:val="009F37B7"/>
    <w:rsid w:val="009F5E43"/>
    <w:rsid w:val="009F649B"/>
    <w:rsid w:val="009F75C7"/>
    <w:rsid w:val="00A10F02"/>
    <w:rsid w:val="00A164B4"/>
    <w:rsid w:val="00A26956"/>
    <w:rsid w:val="00A41A8C"/>
    <w:rsid w:val="00A43D95"/>
    <w:rsid w:val="00A53724"/>
    <w:rsid w:val="00A61916"/>
    <w:rsid w:val="00A622AB"/>
    <w:rsid w:val="00A73129"/>
    <w:rsid w:val="00A82346"/>
    <w:rsid w:val="00A92BA1"/>
    <w:rsid w:val="00A971EE"/>
    <w:rsid w:val="00AA437A"/>
    <w:rsid w:val="00AB45F2"/>
    <w:rsid w:val="00AC6BC6"/>
    <w:rsid w:val="00AD5B1E"/>
    <w:rsid w:val="00AE3797"/>
    <w:rsid w:val="00AF35C3"/>
    <w:rsid w:val="00AF66E8"/>
    <w:rsid w:val="00B15449"/>
    <w:rsid w:val="00B279F8"/>
    <w:rsid w:val="00B35399"/>
    <w:rsid w:val="00B40992"/>
    <w:rsid w:val="00B81ACB"/>
    <w:rsid w:val="00B81B92"/>
    <w:rsid w:val="00B85465"/>
    <w:rsid w:val="00B91498"/>
    <w:rsid w:val="00B9224F"/>
    <w:rsid w:val="00B93086"/>
    <w:rsid w:val="00BA19ED"/>
    <w:rsid w:val="00BA2787"/>
    <w:rsid w:val="00BA300B"/>
    <w:rsid w:val="00BA4B8D"/>
    <w:rsid w:val="00BB1ED8"/>
    <w:rsid w:val="00BB2E58"/>
    <w:rsid w:val="00BB62D3"/>
    <w:rsid w:val="00BC0F7D"/>
    <w:rsid w:val="00BC4873"/>
    <w:rsid w:val="00BD224C"/>
    <w:rsid w:val="00BE3255"/>
    <w:rsid w:val="00BE3EF4"/>
    <w:rsid w:val="00BF128E"/>
    <w:rsid w:val="00C12B51"/>
    <w:rsid w:val="00C1496A"/>
    <w:rsid w:val="00C33079"/>
    <w:rsid w:val="00C4509D"/>
    <w:rsid w:val="00C45231"/>
    <w:rsid w:val="00C51AC6"/>
    <w:rsid w:val="00C522C9"/>
    <w:rsid w:val="00C72833"/>
    <w:rsid w:val="00C80F1D"/>
    <w:rsid w:val="00C827F9"/>
    <w:rsid w:val="00C900B8"/>
    <w:rsid w:val="00C93F40"/>
    <w:rsid w:val="00CA062F"/>
    <w:rsid w:val="00CA3D0C"/>
    <w:rsid w:val="00CB6512"/>
    <w:rsid w:val="00CC1807"/>
    <w:rsid w:val="00CE59F7"/>
    <w:rsid w:val="00CF20E3"/>
    <w:rsid w:val="00D309CC"/>
    <w:rsid w:val="00D4439B"/>
    <w:rsid w:val="00D46431"/>
    <w:rsid w:val="00D4726A"/>
    <w:rsid w:val="00D55A42"/>
    <w:rsid w:val="00D56A52"/>
    <w:rsid w:val="00D57972"/>
    <w:rsid w:val="00D63693"/>
    <w:rsid w:val="00D675A9"/>
    <w:rsid w:val="00D738D6"/>
    <w:rsid w:val="00D755EB"/>
    <w:rsid w:val="00D75DB8"/>
    <w:rsid w:val="00D81258"/>
    <w:rsid w:val="00D85B41"/>
    <w:rsid w:val="00D87E00"/>
    <w:rsid w:val="00D9134D"/>
    <w:rsid w:val="00D96264"/>
    <w:rsid w:val="00D96372"/>
    <w:rsid w:val="00DA0D52"/>
    <w:rsid w:val="00DA7A03"/>
    <w:rsid w:val="00DB1818"/>
    <w:rsid w:val="00DB70E5"/>
    <w:rsid w:val="00DC309B"/>
    <w:rsid w:val="00DC4DA2"/>
    <w:rsid w:val="00DD4C17"/>
    <w:rsid w:val="00DF2B1F"/>
    <w:rsid w:val="00DF6189"/>
    <w:rsid w:val="00DF62CD"/>
    <w:rsid w:val="00DF754D"/>
    <w:rsid w:val="00E16509"/>
    <w:rsid w:val="00E30003"/>
    <w:rsid w:val="00E44582"/>
    <w:rsid w:val="00E52814"/>
    <w:rsid w:val="00E52BB4"/>
    <w:rsid w:val="00E72324"/>
    <w:rsid w:val="00E72ABE"/>
    <w:rsid w:val="00E732A1"/>
    <w:rsid w:val="00E75F32"/>
    <w:rsid w:val="00E77645"/>
    <w:rsid w:val="00E97976"/>
    <w:rsid w:val="00EA4051"/>
    <w:rsid w:val="00EA5922"/>
    <w:rsid w:val="00EA7C31"/>
    <w:rsid w:val="00EB13A6"/>
    <w:rsid w:val="00EB7D89"/>
    <w:rsid w:val="00EC3D07"/>
    <w:rsid w:val="00EC4847"/>
    <w:rsid w:val="00EC4A25"/>
    <w:rsid w:val="00EE0E45"/>
    <w:rsid w:val="00EE5AA7"/>
    <w:rsid w:val="00F025A2"/>
    <w:rsid w:val="00F04712"/>
    <w:rsid w:val="00F21311"/>
    <w:rsid w:val="00F22134"/>
    <w:rsid w:val="00F22EC7"/>
    <w:rsid w:val="00F325C8"/>
    <w:rsid w:val="00F329C7"/>
    <w:rsid w:val="00F37186"/>
    <w:rsid w:val="00F473C8"/>
    <w:rsid w:val="00F62AEB"/>
    <w:rsid w:val="00F653B8"/>
    <w:rsid w:val="00F70647"/>
    <w:rsid w:val="00F723B0"/>
    <w:rsid w:val="00F72A76"/>
    <w:rsid w:val="00F72CCC"/>
    <w:rsid w:val="00F82A53"/>
    <w:rsid w:val="00F95376"/>
    <w:rsid w:val="00FA1266"/>
    <w:rsid w:val="00FA4489"/>
    <w:rsid w:val="00FA5857"/>
    <w:rsid w:val="00FC1192"/>
    <w:rsid w:val="00FC6615"/>
    <w:rsid w:val="00FD2464"/>
    <w:rsid w:val="00FE6209"/>
    <w:rsid w:val="00FF30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spacing w:after="0"/>
      <w:ind w:left="720"/>
    </w:pPr>
    <w:rPr>
      <w:lang w:val="en-US"/>
    </w:rPr>
  </w:style>
  <w:style w:type="paragraph" w:styleId="NormalWeb">
    <w:name w:val="Normal (Web)"/>
    <w:basedOn w:val="Normal"/>
    <w:uiPriority w:val="99"/>
    <w:unhideWhenUsed/>
    <w:rsid w:val="003C0DD3"/>
    <w:pPr>
      <w:spacing w:before="100" w:beforeAutospacing="1" w:after="100" w:afterAutospacing="1"/>
    </w:pPr>
    <w:rPr>
      <w:sz w:val="24"/>
      <w:szCs w:val="24"/>
      <w:lang w:val="en-DE" w:eastAsia="en-GB"/>
    </w:r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rPr>
      <w:sz w:val="24"/>
      <w:szCs w:val="24"/>
      <w:lang w:val="en-DE" w:eastAsia="en-GB"/>
    </w:rPr>
  </w:style>
  <w:style w:type="paragraph" w:customStyle="1" w:styleId="indenthangingb">
    <w:name w:val="indenthangingb"/>
    <w:basedOn w:val="Normal"/>
    <w:rsid w:val="00E30003"/>
    <w:pPr>
      <w:spacing w:before="100" w:beforeAutospacing="1" w:after="100" w:afterAutospacing="1"/>
    </w:pPr>
    <w:rPr>
      <w:sz w:val="24"/>
      <w:szCs w:val="24"/>
      <w:lang w:val="en-DE" w:eastAsia="en-GB"/>
    </w:rPr>
  </w:style>
  <w:style w:type="paragraph" w:customStyle="1" w:styleId="noindent">
    <w:name w:val="noindent"/>
    <w:basedOn w:val="Normal"/>
    <w:rsid w:val="00E30003"/>
    <w:pPr>
      <w:spacing w:before="100" w:beforeAutospacing="1" w:after="100" w:afterAutospacing="1"/>
    </w:pPr>
    <w:rPr>
      <w:sz w:val="24"/>
      <w:szCs w:val="24"/>
      <w:lang w:val="en-DE" w:eastAsia="en-GB"/>
    </w:r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rPr>
  </w:style>
  <w:style w:type="character" w:styleId="CommentReference">
    <w:name w:val="annotation reference"/>
    <w:basedOn w:val="DefaultParagraphFont"/>
    <w:rsid w:val="00043126"/>
    <w:rPr>
      <w:sz w:val="16"/>
      <w:szCs w:val="16"/>
    </w:rPr>
  </w:style>
  <w:style w:type="paragraph" w:styleId="CommentText">
    <w:name w:val="annotation text"/>
    <w:basedOn w:val="Normal"/>
    <w:link w:val="CommentTextChar"/>
    <w:rsid w:val="00043126"/>
  </w:style>
  <w:style w:type="character" w:customStyle="1" w:styleId="CommentTextChar">
    <w:name w:val="Comment Text Char"/>
    <w:basedOn w:val="DefaultParagraphFont"/>
    <w:link w:val="CommentText"/>
    <w:rsid w:val="00043126"/>
    <w:rPr>
      <w:lang w:eastAsia="en-US"/>
    </w:rPr>
  </w:style>
  <w:style w:type="paragraph" w:styleId="CommentSubject">
    <w:name w:val="annotation subject"/>
    <w:basedOn w:val="CommentText"/>
    <w:next w:val="CommentText"/>
    <w:link w:val="CommentSubjectChar"/>
    <w:rsid w:val="00043126"/>
    <w:rPr>
      <w:b/>
      <w:bCs/>
    </w:rPr>
  </w:style>
  <w:style w:type="character" w:customStyle="1" w:styleId="CommentSubjectChar">
    <w:name w:val="Comment Subject Char"/>
    <w:basedOn w:val="CommentTextChar"/>
    <w:link w:val="CommentSubject"/>
    <w:rsid w:val="00043126"/>
    <w:rPr>
      <w:b/>
      <w:bCs/>
      <w:lang w:eastAsia="en-US"/>
    </w:rPr>
  </w:style>
  <w:style w:type="character" w:customStyle="1" w:styleId="TACChar">
    <w:name w:val="TAC Char"/>
    <w:link w:val="TAC"/>
    <w:qFormat/>
    <w:rsid w:val="00885635"/>
    <w:rPr>
      <w:rFonts w:ascii="Arial" w:hAnsi="Arial"/>
      <w:sz w:val="18"/>
      <w:lang w:eastAsia="en-US"/>
    </w:rPr>
  </w:style>
  <w:style w:type="character" w:customStyle="1" w:styleId="TAHCar">
    <w:name w:val="TAH Car"/>
    <w:link w:val="TAH"/>
    <w:qFormat/>
    <w:rsid w:val="00885635"/>
    <w:rPr>
      <w:rFonts w:ascii="Arial" w:hAnsi="Arial"/>
      <w:b/>
      <w:sz w:val="18"/>
      <w:lang w:eastAsia="en-US"/>
    </w:rPr>
  </w:style>
  <w:style w:type="character" w:customStyle="1" w:styleId="TANChar">
    <w:name w:val="TAN Char"/>
    <w:link w:val="TAN"/>
    <w:qFormat/>
    <w:rsid w:val="0088563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51424">
      <w:bodyDiv w:val="1"/>
      <w:marLeft w:val="0"/>
      <w:marRight w:val="0"/>
      <w:marTop w:val="0"/>
      <w:marBottom w:val="0"/>
      <w:divBdr>
        <w:top w:val="none" w:sz="0" w:space="0" w:color="auto"/>
        <w:left w:val="none" w:sz="0" w:space="0" w:color="auto"/>
        <w:bottom w:val="none" w:sz="0" w:space="0" w:color="auto"/>
        <w:right w:val="none" w:sz="0" w:space="0" w:color="auto"/>
      </w:divBdr>
    </w:div>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050725">
      <w:bodyDiv w:val="1"/>
      <w:marLeft w:val="0"/>
      <w:marRight w:val="0"/>
      <w:marTop w:val="0"/>
      <w:marBottom w:val="0"/>
      <w:divBdr>
        <w:top w:val="none" w:sz="0" w:space="0" w:color="auto"/>
        <w:left w:val="none" w:sz="0" w:space="0" w:color="auto"/>
        <w:bottom w:val="none" w:sz="0" w:space="0" w:color="auto"/>
        <w:right w:val="none" w:sz="0" w:space="0" w:color="auto"/>
      </w:divBdr>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377532">
      <w:bodyDiv w:val="1"/>
      <w:marLeft w:val="0"/>
      <w:marRight w:val="0"/>
      <w:marTop w:val="0"/>
      <w:marBottom w:val="0"/>
      <w:divBdr>
        <w:top w:val="none" w:sz="0" w:space="0" w:color="auto"/>
        <w:left w:val="none" w:sz="0" w:space="0" w:color="auto"/>
        <w:bottom w:val="none" w:sz="0" w:space="0" w:color="auto"/>
        <w:right w:val="none" w:sz="0" w:space="0" w:color="auto"/>
      </w:divBdr>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cp:revision>
  <cp:lastPrinted>2019-02-25T14:05:00Z</cp:lastPrinted>
  <dcterms:created xsi:type="dcterms:W3CDTF">2021-01-15T18:42:00Z</dcterms:created>
  <dcterms:modified xsi:type="dcterms:W3CDTF">2021-01-15T18:45:00Z</dcterms:modified>
  <cp:category/>
</cp:coreProperties>
</file>